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56AB" w14:textId="40229EFE" w:rsidR="005C246D" w:rsidRPr="000B7BB6" w:rsidRDefault="000F1B46" w:rsidP="000B7BB6">
      <w:pPr>
        <w:pStyle w:val="Heading3"/>
        <w:spacing w:before="0" w:line="240" w:lineRule="auto"/>
        <w:rPr>
          <w:rFonts w:ascii="Aptos" w:hAnsi="Aptos"/>
          <w:color w:val="0F4861" w:themeColor="text2"/>
        </w:rPr>
      </w:pPr>
      <w:r w:rsidRPr="000B7BB6">
        <w:rPr>
          <w:rFonts w:ascii="Aptos" w:hAnsi="Aptos"/>
          <w:color w:val="0F4861" w:themeColor="text2"/>
        </w:rPr>
        <w:t>Local Roadmaps to Community Resilience</w:t>
      </w:r>
    </w:p>
    <w:p w14:paraId="59330454" w14:textId="1BBA367C" w:rsidR="000F1B46" w:rsidRDefault="00CD1320" w:rsidP="000B7BB6">
      <w:pPr>
        <w:pStyle w:val="Heading3"/>
        <w:spacing w:before="0" w:line="240" w:lineRule="auto"/>
        <w:rPr>
          <w:rFonts w:ascii="Aptos" w:hAnsi="Aptos"/>
          <w:color w:val="0F4861" w:themeColor="text2"/>
        </w:rPr>
      </w:pPr>
      <w:r>
        <w:rPr>
          <w:rFonts w:ascii="Aptos" w:hAnsi="Aptos"/>
          <w:color w:val="0F4861" w:themeColor="text2"/>
        </w:rPr>
        <w:t>Data Tools and Visualizations Overview</w:t>
      </w:r>
    </w:p>
    <w:p w14:paraId="501BE34C" w14:textId="77777777" w:rsidR="00CD1320" w:rsidRPr="00CD1320" w:rsidRDefault="00CD1320" w:rsidP="00CD1320"/>
    <w:tbl>
      <w:tblPr>
        <w:tblStyle w:val="TableGrid"/>
        <w:tblW w:w="0" w:type="auto"/>
        <w:tblLook w:val="04A0" w:firstRow="1" w:lastRow="0" w:firstColumn="1" w:lastColumn="0" w:noHBand="0" w:noVBand="1"/>
      </w:tblPr>
      <w:tblGrid>
        <w:gridCol w:w="1959"/>
        <w:gridCol w:w="2261"/>
        <w:gridCol w:w="2131"/>
        <w:gridCol w:w="2488"/>
        <w:gridCol w:w="2792"/>
        <w:gridCol w:w="2039"/>
      </w:tblGrid>
      <w:tr w:rsidR="00CD1320" w:rsidRPr="00767D1A" w14:paraId="492DC48A" w14:textId="77777777" w:rsidTr="0047650B">
        <w:trPr>
          <w:cantSplit/>
          <w:tblHeader/>
        </w:trPr>
        <w:tc>
          <w:tcPr>
            <w:tcW w:w="2073" w:type="dxa"/>
            <w:shd w:val="clear" w:color="auto" w:fill="BFBFBF" w:themeFill="background1" w:themeFillShade="BF"/>
            <w:vAlign w:val="center"/>
          </w:tcPr>
          <w:p w14:paraId="3E96564E"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Data Tool</w:t>
            </w:r>
            <w:r w:rsidRPr="00767D1A">
              <w:rPr>
                <w:rFonts w:ascii="Arial" w:hAnsi="Arial" w:cs="Arial"/>
                <w:b/>
                <w:bCs/>
                <w:sz w:val="20"/>
                <w:szCs w:val="20"/>
              </w:rPr>
              <w:br/>
              <w:t>(and Link)</w:t>
            </w:r>
          </w:p>
        </w:tc>
        <w:tc>
          <w:tcPr>
            <w:tcW w:w="2367" w:type="dxa"/>
            <w:shd w:val="clear" w:color="auto" w:fill="BFBFBF" w:themeFill="background1" w:themeFillShade="BF"/>
            <w:vAlign w:val="center"/>
          </w:tcPr>
          <w:p w14:paraId="2879BC43"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Description</w:t>
            </w:r>
          </w:p>
        </w:tc>
        <w:tc>
          <w:tcPr>
            <w:tcW w:w="2215" w:type="dxa"/>
            <w:shd w:val="clear" w:color="auto" w:fill="BFBFBF" w:themeFill="background1" w:themeFillShade="BF"/>
            <w:vAlign w:val="center"/>
          </w:tcPr>
          <w:p w14:paraId="61382C95"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Recommended Uses</w:t>
            </w:r>
          </w:p>
        </w:tc>
        <w:tc>
          <w:tcPr>
            <w:tcW w:w="2610" w:type="dxa"/>
            <w:shd w:val="clear" w:color="auto" w:fill="BFBFBF" w:themeFill="background1" w:themeFillShade="BF"/>
            <w:vAlign w:val="center"/>
          </w:tcPr>
          <w:p w14:paraId="43132C97"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Strengths</w:t>
            </w:r>
          </w:p>
        </w:tc>
        <w:tc>
          <w:tcPr>
            <w:tcW w:w="2990" w:type="dxa"/>
            <w:shd w:val="clear" w:color="auto" w:fill="BFBFBF" w:themeFill="background1" w:themeFillShade="BF"/>
            <w:vAlign w:val="center"/>
          </w:tcPr>
          <w:p w14:paraId="51A27C3D"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Limitations</w:t>
            </w:r>
          </w:p>
        </w:tc>
        <w:tc>
          <w:tcPr>
            <w:tcW w:w="2135" w:type="dxa"/>
            <w:shd w:val="clear" w:color="auto" w:fill="BFBFBF" w:themeFill="background1" w:themeFillShade="BF"/>
            <w:vAlign w:val="center"/>
          </w:tcPr>
          <w:p w14:paraId="618512C4" w14:textId="77777777" w:rsidR="00CD1320" w:rsidRPr="00767D1A" w:rsidRDefault="00CD1320" w:rsidP="0047650B">
            <w:pPr>
              <w:jc w:val="center"/>
              <w:rPr>
                <w:rFonts w:ascii="Arial" w:hAnsi="Arial" w:cs="Arial"/>
                <w:b/>
                <w:bCs/>
                <w:sz w:val="20"/>
                <w:szCs w:val="20"/>
              </w:rPr>
            </w:pPr>
            <w:r w:rsidRPr="00767D1A">
              <w:rPr>
                <w:rFonts w:ascii="Arial" w:hAnsi="Arial" w:cs="Arial"/>
                <w:b/>
                <w:bCs/>
                <w:sz w:val="20"/>
                <w:szCs w:val="20"/>
              </w:rPr>
              <w:t>Inputs to Data Tool</w:t>
            </w:r>
          </w:p>
        </w:tc>
      </w:tr>
      <w:tr w:rsidR="00CD1320" w:rsidRPr="00767D1A" w14:paraId="63ED75EF" w14:textId="77777777" w:rsidTr="0047650B">
        <w:trPr>
          <w:cantSplit/>
        </w:trPr>
        <w:tc>
          <w:tcPr>
            <w:tcW w:w="2073" w:type="dxa"/>
            <w:shd w:val="clear" w:color="auto" w:fill="FFFFFF" w:themeFill="background1"/>
          </w:tcPr>
          <w:p w14:paraId="7BD9CC14" w14:textId="77777777" w:rsidR="00CD1320" w:rsidRPr="00052800" w:rsidRDefault="00CD1320" w:rsidP="0047650B">
            <w:pPr>
              <w:spacing w:after="240"/>
              <w:rPr>
                <w:rFonts w:ascii="Arial" w:hAnsi="Arial" w:cs="Arial"/>
                <w:sz w:val="20"/>
                <w:szCs w:val="20"/>
              </w:rPr>
            </w:pPr>
            <w:hyperlink r:id="rId9" w:history="1">
              <w:r w:rsidRPr="00052800">
                <w:rPr>
                  <w:rStyle w:val="Hyperlink"/>
                  <w:rFonts w:ascii="Arial" w:hAnsi="Arial" w:cs="Arial"/>
                  <w:sz w:val="20"/>
                  <w:szCs w:val="20"/>
                </w:rPr>
                <w:t>Climate and Economic Justice Screening Tool (CEJST)</w:t>
              </w:r>
            </w:hyperlink>
          </w:p>
        </w:tc>
        <w:tc>
          <w:tcPr>
            <w:tcW w:w="2367" w:type="dxa"/>
            <w:shd w:val="clear" w:color="auto" w:fill="FFFFFF" w:themeFill="background1"/>
          </w:tcPr>
          <w:p w14:paraId="6D771552" w14:textId="77777777" w:rsidR="00CD1320" w:rsidRPr="00052800" w:rsidRDefault="00CD1320" w:rsidP="0047650B">
            <w:pPr>
              <w:spacing w:after="240"/>
              <w:rPr>
                <w:rFonts w:ascii="Arial" w:hAnsi="Arial" w:cs="Arial"/>
                <w:sz w:val="20"/>
                <w:szCs w:val="20"/>
              </w:rPr>
            </w:pPr>
            <w:r w:rsidRPr="00052800">
              <w:rPr>
                <w:rFonts w:ascii="Arial" w:hAnsi="Arial" w:cs="Arial"/>
                <w:sz w:val="20"/>
                <w:szCs w:val="20"/>
              </w:rPr>
              <w:t>Identifies “disadvantaged” communities (census tracts) nationwide and assigns them one or more “categories of burden” (e.g., climate change, legacy pollution, workforce development) based on how much burden each tract experiences compared to other tracts across the country</w:t>
            </w:r>
          </w:p>
        </w:tc>
        <w:tc>
          <w:tcPr>
            <w:tcW w:w="2215" w:type="dxa"/>
            <w:shd w:val="clear" w:color="auto" w:fill="FFFFFF" w:themeFill="background1"/>
          </w:tcPr>
          <w:p w14:paraId="0C79E6F3" w14:textId="77777777" w:rsidR="00CD1320" w:rsidRPr="00052800" w:rsidRDefault="00CD1320" w:rsidP="0047650B">
            <w:pPr>
              <w:spacing w:after="240"/>
              <w:rPr>
                <w:rFonts w:ascii="Arial" w:hAnsi="Arial" w:cs="Arial"/>
                <w:sz w:val="20"/>
                <w:szCs w:val="20"/>
              </w:rPr>
            </w:pPr>
            <w:r w:rsidRPr="00052800">
              <w:rPr>
                <w:rFonts w:ascii="Arial" w:hAnsi="Arial" w:cs="Arial"/>
                <w:sz w:val="20"/>
                <w:szCs w:val="20"/>
              </w:rPr>
              <w:t>To identify disadvantaged communities (census tracts) and understanding the burdens they face</w:t>
            </w:r>
          </w:p>
        </w:tc>
        <w:tc>
          <w:tcPr>
            <w:tcW w:w="2610" w:type="dxa"/>
            <w:shd w:val="clear" w:color="auto" w:fill="FFFFFF" w:themeFill="background1"/>
          </w:tcPr>
          <w:p w14:paraId="3B9DAB01" w14:textId="77777777" w:rsidR="00CD1320" w:rsidRPr="00052800" w:rsidRDefault="00CD1320" w:rsidP="0047650B">
            <w:pPr>
              <w:rPr>
                <w:rFonts w:ascii="Arial" w:hAnsi="Arial" w:cs="Arial"/>
                <w:color w:val="1B1B1B"/>
                <w:sz w:val="20"/>
                <w:szCs w:val="20"/>
                <w:shd w:val="clear" w:color="auto" w:fill="FFFFFF"/>
              </w:rPr>
            </w:pPr>
            <w:r w:rsidRPr="00052800">
              <w:rPr>
                <w:rFonts w:ascii="Arial" w:hAnsi="Arial" w:cs="Arial"/>
                <w:color w:val="1B1B1B"/>
                <w:sz w:val="20"/>
                <w:szCs w:val="20"/>
                <w:shd w:val="clear" w:color="auto" w:fill="FFFFFF"/>
              </w:rPr>
              <w:t>Brings together a number of data sources to provide a comprehensive picture of the challenges faced by communities, from traffic to lead exposure to proximity to dangerous industrial sites</w:t>
            </w:r>
          </w:p>
          <w:p w14:paraId="2AB61E14" w14:textId="77777777" w:rsidR="00CD1320" w:rsidRPr="00052800" w:rsidRDefault="00CD1320" w:rsidP="0047650B">
            <w:pPr>
              <w:rPr>
                <w:rFonts w:ascii="Arial" w:hAnsi="Arial" w:cs="Arial"/>
                <w:color w:val="1B1B1B"/>
                <w:sz w:val="20"/>
                <w:szCs w:val="20"/>
                <w:shd w:val="clear" w:color="auto" w:fill="FFFFFF"/>
              </w:rPr>
            </w:pPr>
          </w:p>
          <w:p w14:paraId="27ACC181" w14:textId="77777777" w:rsidR="00CD1320" w:rsidRPr="00052800" w:rsidRDefault="00CD1320" w:rsidP="0047650B">
            <w:pPr>
              <w:spacing w:after="120"/>
              <w:rPr>
                <w:rFonts w:ascii="Arial" w:hAnsi="Arial" w:cs="Arial"/>
                <w:sz w:val="20"/>
                <w:szCs w:val="20"/>
              </w:rPr>
            </w:pPr>
            <w:r w:rsidRPr="00052800">
              <w:rPr>
                <w:rFonts w:ascii="Arial" w:hAnsi="Arial" w:cs="Arial"/>
                <w:color w:val="1B1B1B"/>
                <w:sz w:val="20"/>
                <w:szCs w:val="20"/>
                <w:shd w:val="clear" w:color="auto" w:fill="FFFFFF"/>
              </w:rPr>
              <w:t>Federal agencies and grant programs are required to use CEJST to help identify disadvantaged communities that will benefit from programs included in the </w:t>
            </w:r>
            <w:hyperlink r:id="rId10" w:anchor=":~:text=Sec.%20223.%20Justice40,40-percent%20goal." w:tgtFrame="_blank" w:history="1">
              <w:r w:rsidRPr="00052800">
                <w:rPr>
                  <w:rStyle w:val="Hyperlink"/>
                  <w:rFonts w:ascii="Arial" w:hAnsi="Arial" w:cs="Arial"/>
                  <w:color w:val="005EA2"/>
                  <w:sz w:val="20"/>
                  <w:szCs w:val="20"/>
                  <w:shd w:val="clear" w:color="auto" w:fill="FFFFFF"/>
                </w:rPr>
                <w:t>Justice40 Initiative</w:t>
              </w:r>
            </w:hyperlink>
          </w:p>
        </w:tc>
        <w:tc>
          <w:tcPr>
            <w:tcW w:w="2990" w:type="dxa"/>
            <w:shd w:val="clear" w:color="auto" w:fill="FFFFFF" w:themeFill="background1"/>
          </w:tcPr>
          <w:p w14:paraId="29883C58" w14:textId="77777777" w:rsidR="00CD1320" w:rsidRPr="00052800" w:rsidRDefault="00CD1320" w:rsidP="0047650B">
            <w:pPr>
              <w:spacing w:after="120"/>
              <w:rPr>
                <w:rFonts w:ascii="Arial" w:hAnsi="Arial" w:cs="Arial"/>
                <w:sz w:val="20"/>
                <w:szCs w:val="20"/>
              </w:rPr>
            </w:pPr>
            <w:r w:rsidRPr="00052800">
              <w:rPr>
                <w:rFonts w:ascii="Arial" w:hAnsi="Arial" w:cs="Arial"/>
                <w:sz w:val="20"/>
                <w:szCs w:val="20"/>
              </w:rPr>
              <w:t>Because of the assigned definitions of burden and potentially arbitrary “cut-off” points, some census tracts that face significant climate, environmental, and economic challenges are not identified in the tool as disadvantaged areas</w:t>
            </w:r>
          </w:p>
          <w:p w14:paraId="6A7FC492" w14:textId="77777777" w:rsidR="00CD1320" w:rsidRPr="00052800" w:rsidRDefault="00CD1320" w:rsidP="0047650B">
            <w:pPr>
              <w:spacing w:after="120"/>
              <w:rPr>
                <w:rFonts w:ascii="Arial" w:hAnsi="Arial" w:cs="Arial"/>
                <w:sz w:val="20"/>
                <w:szCs w:val="20"/>
              </w:rPr>
            </w:pPr>
            <w:r w:rsidRPr="00052800">
              <w:rPr>
                <w:rFonts w:ascii="Arial" w:hAnsi="Arial" w:cs="Arial"/>
                <w:sz w:val="20"/>
                <w:szCs w:val="20"/>
              </w:rPr>
              <w:t>The tool does not consider race or age, even though these demographic factors lead to disproportionate impacts of climate change and natural disasters</w:t>
            </w:r>
          </w:p>
          <w:p w14:paraId="42A5159E" w14:textId="77777777" w:rsidR="00CD1320" w:rsidRPr="00052800" w:rsidRDefault="00CD1320" w:rsidP="0047650B">
            <w:pPr>
              <w:spacing w:after="120"/>
              <w:rPr>
                <w:rFonts w:ascii="Arial" w:hAnsi="Arial" w:cs="Arial"/>
                <w:sz w:val="20"/>
                <w:szCs w:val="20"/>
              </w:rPr>
            </w:pPr>
            <w:r w:rsidRPr="00052800">
              <w:rPr>
                <w:rFonts w:ascii="Arial" w:hAnsi="Arial" w:cs="Arial"/>
                <w:sz w:val="20"/>
                <w:szCs w:val="20"/>
              </w:rPr>
              <w:t>Tool uses census tract boundaries and population data from 2010; these may have changed in the 2020 census</w:t>
            </w:r>
          </w:p>
        </w:tc>
        <w:tc>
          <w:tcPr>
            <w:tcW w:w="2135" w:type="dxa"/>
            <w:shd w:val="clear" w:color="auto" w:fill="FFFFFF" w:themeFill="background1"/>
          </w:tcPr>
          <w:p w14:paraId="476E1532" w14:textId="3A8B0BED" w:rsidR="00CD1320" w:rsidRDefault="00CD1320" w:rsidP="0047650B">
            <w:pPr>
              <w:spacing w:after="240"/>
              <w:rPr>
                <w:rFonts w:ascii="Arial" w:hAnsi="Arial" w:cs="Arial"/>
                <w:sz w:val="20"/>
                <w:szCs w:val="20"/>
              </w:rPr>
            </w:pPr>
            <w:hyperlink r:id="rId11" w:history="1">
              <w:r w:rsidRPr="00CD1320">
                <w:rPr>
                  <w:rStyle w:val="Hyperlink"/>
                  <w:rFonts w:ascii="Arial" w:hAnsi="Arial" w:cs="Arial"/>
                  <w:sz w:val="20"/>
                  <w:szCs w:val="20"/>
                </w:rPr>
                <w:t>National Risk Index</w:t>
              </w:r>
            </w:hyperlink>
            <w:r>
              <w:rPr>
                <w:rFonts w:ascii="Arial" w:hAnsi="Arial" w:cs="Arial"/>
                <w:sz w:val="20"/>
                <w:szCs w:val="20"/>
              </w:rPr>
              <w:t>, 2014-2021</w:t>
            </w:r>
          </w:p>
          <w:p w14:paraId="701C7E09" w14:textId="26731F63" w:rsidR="00CD1320" w:rsidRDefault="00CD1320" w:rsidP="0047650B">
            <w:pPr>
              <w:spacing w:after="240"/>
              <w:rPr>
                <w:rFonts w:ascii="Arial" w:hAnsi="Arial" w:cs="Arial"/>
                <w:sz w:val="20"/>
                <w:szCs w:val="20"/>
              </w:rPr>
            </w:pPr>
            <w:hyperlink r:id="rId12" w:history="1">
              <w:r w:rsidRPr="00CD1320">
                <w:rPr>
                  <w:rStyle w:val="Hyperlink"/>
                  <w:rFonts w:ascii="Arial" w:hAnsi="Arial" w:cs="Arial"/>
                  <w:sz w:val="20"/>
                  <w:szCs w:val="20"/>
                </w:rPr>
                <w:t>American Community Survey</w:t>
              </w:r>
            </w:hyperlink>
            <w:r>
              <w:rPr>
                <w:rFonts w:ascii="Arial" w:hAnsi="Arial" w:cs="Arial"/>
                <w:sz w:val="20"/>
                <w:szCs w:val="20"/>
              </w:rPr>
              <w:t>, 2015-2-19</w:t>
            </w:r>
          </w:p>
          <w:p w14:paraId="1696A6D4" w14:textId="24E4945D" w:rsidR="00CD1320" w:rsidRPr="00052800" w:rsidRDefault="00CD1320" w:rsidP="0047650B">
            <w:pPr>
              <w:spacing w:after="240"/>
              <w:rPr>
                <w:rFonts w:ascii="Arial" w:hAnsi="Arial" w:cs="Arial"/>
                <w:sz w:val="20"/>
                <w:szCs w:val="20"/>
              </w:rPr>
            </w:pPr>
            <w:r w:rsidRPr="00052800">
              <w:rPr>
                <w:rFonts w:ascii="Arial" w:hAnsi="Arial" w:cs="Arial"/>
                <w:sz w:val="20"/>
                <w:szCs w:val="20"/>
              </w:rPr>
              <w:t xml:space="preserve">Additional sources are used to identify specific categories of burden; they can be reviewed </w:t>
            </w:r>
            <w:hyperlink r:id="rId13" w:anchor="14.24/34.03998/-119.82972">
              <w:r w:rsidRPr="00052800">
                <w:rPr>
                  <w:rStyle w:val="Hyperlink"/>
                  <w:rFonts w:ascii="Arial" w:hAnsi="Arial" w:cs="Arial"/>
                  <w:sz w:val="20"/>
                  <w:szCs w:val="20"/>
                </w:rPr>
                <w:t>here</w:t>
              </w:r>
            </w:hyperlink>
          </w:p>
          <w:p w14:paraId="2C8ACD29" w14:textId="77777777" w:rsidR="00CD1320" w:rsidRPr="00052800" w:rsidRDefault="00CD1320" w:rsidP="0047650B">
            <w:pPr>
              <w:spacing w:after="240"/>
              <w:rPr>
                <w:rFonts w:ascii="Arial" w:hAnsi="Arial" w:cs="Arial"/>
                <w:sz w:val="20"/>
                <w:szCs w:val="20"/>
              </w:rPr>
            </w:pPr>
          </w:p>
        </w:tc>
      </w:tr>
      <w:tr w:rsidR="00CD1320" w:rsidRPr="00767D1A" w14:paraId="630B6E46" w14:textId="77777777" w:rsidTr="0047650B">
        <w:trPr>
          <w:cantSplit/>
          <w:trHeight w:val="2582"/>
        </w:trPr>
        <w:tc>
          <w:tcPr>
            <w:tcW w:w="2073" w:type="dxa"/>
          </w:tcPr>
          <w:p w14:paraId="25121F67" w14:textId="77777777" w:rsidR="00CD1320" w:rsidRDefault="00CD1320" w:rsidP="0047650B">
            <w:pPr>
              <w:spacing w:after="240"/>
              <w:rPr>
                <w:rFonts w:ascii="Arial" w:hAnsi="Arial" w:cs="Arial"/>
                <w:sz w:val="20"/>
                <w:szCs w:val="20"/>
              </w:rPr>
            </w:pPr>
            <w:hyperlink r:id="rId14" w:history="1">
              <w:r w:rsidRPr="00767D1A">
                <w:rPr>
                  <w:rStyle w:val="Hyperlink"/>
                  <w:rFonts w:ascii="Arial" w:hAnsi="Arial" w:cs="Arial"/>
                  <w:sz w:val="20"/>
                  <w:szCs w:val="20"/>
                </w:rPr>
                <w:t>National Risk Index</w:t>
              </w:r>
            </w:hyperlink>
            <w:r w:rsidRPr="00767D1A">
              <w:rPr>
                <w:rFonts w:ascii="Arial" w:hAnsi="Arial" w:cs="Arial"/>
                <w:sz w:val="20"/>
                <w:szCs w:val="20"/>
              </w:rPr>
              <w:t xml:space="preserve"> (NRI)</w:t>
            </w:r>
          </w:p>
          <w:p w14:paraId="41EF2D11" w14:textId="77777777" w:rsidR="00CD1320" w:rsidRPr="00CD1320" w:rsidRDefault="00CD1320" w:rsidP="00CD1320">
            <w:pPr>
              <w:rPr>
                <w:rFonts w:ascii="Arial" w:hAnsi="Arial" w:cs="Arial"/>
                <w:sz w:val="20"/>
                <w:szCs w:val="20"/>
              </w:rPr>
            </w:pPr>
          </w:p>
          <w:p w14:paraId="236E1DE8" w14:textId="77777777" w:rsidR="00CD1320" w:rsidRPr="00CD1320" w:rsidRDefault="00CD1320" w:rsidP="00CD1320">
            <w:pPr>
              <w:rPr>
                <w:rFonts w:ascii="Arial" w:hAnsi="Arial" w:cs="Arial"/>
                <w:sz w:val="20"/>
                <w:szCs w:val="20"/>
              </w:rPr>
            </w:pPr>
          </w:p>
          <w:p w14:paraId="4779DDF1" w14:textId="77777777" w:rsidR="00CD1320" w:rsidRPr="00CD1320" w:rsidRDefault="00CD1320" w:rsidP="00CD1320">
            <w:pPr>
              <w:rPr>
                <w:rFonts w:ascii="Arial" w:hAnsi="Arial" w:cs="Arial"/>
                <w:sz w:val="20"/>
                <w:szCs w:val="20"/>
              </w:rPr>
            </w:pPr>
          </w:p>
          <w:p w14:paraId="396FD91F" w14:textId="77777777" w:rsidR="00CD1320" w:rsidRPr="00CD1320" w:rsidRDefault="00CD1320" w:rsidP="00CD1320">
            <w:pPr>
              <w:rPr>
                <w:rFonts w:ascii="Arial" w:hAnsi="Arial" w:cs="Arial"/>
                <w:sz w:val="20"/>
                <w:szCs w:val="20"/>
              </w:rPr>
            </w:pPr>
          </w:p>
          <w:p w14:paraId="1D99AC1E" w14:textId="77777777" w:rsidR="00CD1320" w:rsidRPr="00CD1320" w:rsidRDefault="00CD1320" w:rsidP="00CD1320">
            <w:pPr>
              <w:rPr>
                <w:rFonts w:ascii="Arial" w:hAnsi="Arial" w:cs="Arial"/>
                <w:sz w:val="20"/>
                <w:szCs w:val="20"/>
              </w:rPr>
            </w:pPr>
          </w:p>
          <w:p w14:paraId="067287A2" w14:textId="77777777" w:rsidR="00CD1320" w:rsidRDefault="00CD1320" w:rsidP="00CD1320">
            <w:pPr>
              <w:rPr>
                <w:rFonts w:ascii="Arial" w:hAnsi="Arial" w:cs="Arial"/>
                <w:sz w:val="20"/>
                <w:szCs w:val="20"/>
              </w:rPr>
            </w:pPr>
          </w:p>
          <w:p w14:paraId="4B243A39" w14:textId="77777777" w:rsidR="00CD1320" w:rsidRPr="00CD1320" w:rsidRDefault="00CD1320" w:rsidP="00CD1320">
            <w:pPr>
              <w:rPr>
                <w:rFonts w:ascii="Arial" w:hAnsi="Arial" w:cs="Arial"/>
                <w:sz w:val="20"/>
                <w:szCs w:val="20"/>
              </w:rPr>
            </w:pPr>
          </w:p>
          <w:p w14:paraId="2222749F" w14:textId="77777777" w:rsidR="00CD1320" w:rsidRPr="00CD1320" w:rsidRDefault="00CD1320" w:rsidP="00CD1320">
            <w:pPr>
              <w:rPr>
                <w:rFonts w:ascii="Arial" w:hAnsi="Arial" w:cs="Arial"/>
                <w:sz w:val="20"/>
                <w:szCs w:val="20"/>
              </w:rPr>
            </w:pPr>
          </w:p>
          <w:p w14:paraId="2E327C85" w14:textId="77777777" w:rsidR="00CD1320" w:rsidRDefault="00CD1320" w:rsidP="00CD1320">
            <w:pPr>
              <w:rPr>
                <w:rFonts w:ascii="Arial" w:hAnsi="Arial" w:cs="Arial"/>
                <w:sz w:val="20"/>
                <w:szCs w:val="20"/>
              </w:rPr>
            </w:pPr>
          </w:p>
          <w:p w14:paraId="61AA21E9" w14:textId="77777777" w:rsidR="00CD1320" w:rsidRDefault="00CD1320" w:rsidP="00CD1320">
            <w:pPr>
              <w:rPr>
                <w:rFonts w:ascii="Arial" w:hAnsi="Arial" w:cs="Arial"/>
                <w:sz w:val="20"/>
                <w:szCs w:val="20"/>
              </w:rPr>
            </w:pPr>
          </w:p>
          <w:p w14:paraId="27D23C13" w14:textId="77777777" w:rsidR="00CD1320" w:rsidRPr="00CD1320" w:rsidRDefault="00CD1320" w:rsidP="00CD1320">
            <w:pPr>
              <w:jc w:val="center"/>
              <w:rPr>
                <w:rFonts w:ascii="Arial" w:hAnsi="Arial" w:cs="Arial"/>
                <w:sz w:val="20"/>
                <w:szCs w:val="20"/>
              </w:rPr>
            </w:pPr>
          </w:p>
        </w:tc>
        <w:tc>
          <w:tcPr>
            <w:tcW w:w="2367" w:type="dxa"/>
          </w:tcPr>
          <w:p w14:paraId="47576E1B" w14:textId="77777777" w:rsidR="00CD1320" w:rsidRPr="00767D1A" w:rsidRDefault="00CD1320" w:rsidP="0047650B">
            <w:pPr>
              <w:rPr>
                <w:rFonts w:ascii="Arial" w:hAnsi="Arial" w:cs="Arial"/>
                <w:sz w:val="20"/>
                <w:szCs w:val="20"/>
              </w:rPr>
            </w:pPr>
            <w:r w:rsidRPr="00767D1A">
              <w:rPr>
                <w:rFonts w:ascii="Arial" w:hAnsi="Arial" w:cs="Arial"/>
                <w:sz w:val="20"/>
                <w:szCs w:val="20"/>
              </w:rPr>
              <w:t xml:space="preserve">Shows which communities are most at risk to 18 types of </w:t>
            </w:r>
            <w:hyperlink r:id="rId15" w:history="1">
              <w:r w:rsidRPr="00767D1A">
                <w:rPr>
                  <w:rFonts w:ascii="Arial" w:hAnsi="Arial" w:cs="Arial"/>
                  <w:sz w:val="20"/>
                  <w:szCs w:val="20"/>
                </w:rPr>
                <w:t>natural hazards</w:t>
              </w:r>
            </w:hyperlink>
            <w:r w:rsidRPr="00767D1A">
              <w:rPr>
                <w:rFonts w:ascii="Arial" w:hAnsi="Arial" w:cs="Arial"/>
                <w:sz w:val="20"/>
                <w:szCs w:val="20"/>
              </w:rPr>
              <w:t xml:space="preserve"> and uses data regarding expected annual losses to individual natural hazards, social vulnerability and community resilience, to assign a Risk Index </w:t>
            </w:r>
          </w:p>
        </w:tc>
        <w:tc>
          <w:tcPr>
            <w:tcW w:w="2215" w:type="dxa"/>
          </w:tcPr>
          <w:p w14:paraId="0027ED69"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To understand hazard risk and exposure in communities and prioritize efforts accordingly</w:t>
            </w:r>
          </w:p>
          <w:p w14:paraId="16CB8254"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To support mitigation planning, hazard mitigation assistance, and risk communication</w:t>
            </w:r>
          </w:p>
        </w:tc>
        <w:tc>
          <w:tcPr>
            <w:tcW w:w="2610" w:type="dxa"/>
          </w:tcPr>
          <w:p w14:paraId="1853984D"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Expected annual loss, social vulnerability, and community resilience information is available at both county and Census tract levels</w:t>
            </w:r>
          </w:p>
          <w:p w14:paraId="5A068444"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Best for use as a tool for broad, statewide and nationwide comparisons</w:t>
            </w:r>
          </w:p>
        </w:tc>
        <w:tc>
          <w:tcPr>
            <w:tcW w:w="2990" w:type="dxa"/>
          </w:tcPr>
          <w:p w14:paraId="470CFCE0"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Nationwide datasets used as inputs are in many cases not as accurate as locally available data</w:t>
            </w:r>
          </w:p>
          <w:p w14:paraId="584DF710"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Because the NRI considers property market values when determining exposure and potential losses, it assigns higher risk ratings to wealthier communities</w:t>
            </w:r>
          </w:p>
        </w:tc>
        <w:tc>
          <w:tcPr>
            <w:tcW w:w="2135" w:type="dxa"/>
          </w:tcPr>
          <w:p w14:paraId="420C0AE9" w14:textId="77777777" w:rsidR="00CD1320" w:rsidRPr="00767D1A" w:rsidRDefault="00CD1320" w:rsidP="0047650B">
            <w:pPr>
              <w:spacing w:after="240"/>
              <w:rPr>
                <w:rFonts w:ascii="Arial" w:hAnsi="Arial" w:cs="Arial"/>
                <w:sz w:val="20"/>
                <w:szCs w:val="20"/>
              </w:rPr>
            </w:pPr>
            <w:r w:rsidRPr="00767D1A">
              <w:rPr>
                <w:rFonts w:ascii="Arial" w:hAnsi="Arial" w:cs="Arial"/>
                <w:sz w:val="20"/>
                <w:szCs w:val="20"/>
              </w:rPr>
              <w:t xml:space="preserve">Includes source data from 91 entities, which can be found </w:t>
            </w:r>
            <w:hyperlink r:id="rId16" w:history="1">
              <w:r w:rsidRPr="00767D1A">
                <w:rPr>
                  <w:rStyle w:val="Hyperlink"/>
                  <w:rFonts w:ascii="Arial" w:hAnsi="Arial" w:cs="Arial"/>
                  <w:sz w:val="20"/>
                  <w:szCs w:val="20"/>
                </w:rPr>
                <w:t>here</w:t>
              </w:r>
            </w:hyperlink>
          </w:p>
        </w:tc>
      </w:tr>
      <w:tr w:rsidR="00CD1320" w:rsidRPr="00767D1A" w14:paraId="3C60808A" w14:textId="77777777" w:rsidTr="0047650B">
        <w:trPr>
          <w:cantSplit/>
        </w:trPr>
        <w:tc>
          <w:tcPr>
            <w:tcW w:w="2073" w:type="dxa"/>
          </w:tcPr>
          <w:p w14:paraId="48926745" w14:textId="77777777" w:rsidR="00CD1320" w:rsidRPr="00767D1A" w:rsidRDefault="00CD1320" w:rsidP="0047650B">
            <w:pPr>
              <w:rPr>
                <w:rFonts w:ascii="Arial" w:hAnsi="Arial" w:cs="Arial"/>
                <w:sz w:val="20"/>
                <w:szCs w:val="20"/>
              </w:rPr>
            </w:pPr>
            <w:hyperlink r:id="rId17" w:history="1">
              <w:r w:rsidRPr="00767D1A">
                <w:rPr>
                  <w:rStyle w:val="Hyperlink"/>
                  <w:rFonts w:ascii="Arial" w:hAnsi="Arial" w:cs="Arial"/>
                  <w:sz w:val="20"/>
                  <w:szCs w:val="20"/>
                </w:rPr>
                <w:t>Community Disaster Resilience Zones (CDRZ)</w:t>
              </w:r>
            </w:hyperlink>
          </w:p>
        </w:tc>
        <w:tc>
          <w:tcPr>
            <w:tcW w:w="2367" w:type="dxa"/>
          </w:tcPr>
          <w:p w14:paraId="339094DD" w14:textId="77777777" w:rsidR="00CD1320" w:rsidRPr="00767D1A" w:rsidRDefault="00CD1320" w:rsidP="0047650B">
            <w:pPr>
              <w:rPr>
                <w:rFonts w:ascii="Arial" w:hAnsi="Arial" w:cs="Arial"/>
                <w:sz w:val="20"/>
                <w:szCs w:val="20"/>
              </w:rPr>
            </w:pPr>
            <w:r w:rsidRPr="00767D1A">
              <w:rPr>
                <w:rFonts w:ascii="Arial" w:hAnsi="Arial" w:cs="Arial"/>
                <w:sz w:val="20"/>
                <w:szCs w:val="20"/>
              </w:rPr>
              <w:t>Identifies census tracts which are most at risk from the effects of natural hazards and climate change</w:t>
            </w:r>
          </w:p>
        </w:tc>
        <w:tc>
          <w:tcPr>
            <w:tcW w:w="2215" w:type="dxa"/>
          </w:tcPr>
          <w:p w14:paraId="4CABB11C"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To identify CRDZ-designated zones, as they will be prioritized for targeted federal support, such as increased cost-share for resilience and mitigation projects</w:t>
            </w:r>
          </w:p>
          <w:p w14:paraId="71B65C4E"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As a user-customized tool to visualize any datasets on an ArcGIS platform</w:t>
            </w:r>
          </w:p>
        </w:tc>
        <w:tc>
          <w:tcPr>
            <w:tcW w:w="2610" w:type="dxa"/>
          </w:tcPr>
          <w:p w14:paraId="7C001411" w14:textId="77777777" w:rsidR="00CD1320" w:rsidRPr="00767D1A" w:rsidRDefault="00CD1320" w:rsidP="0047650B">
            <w:pPr>
              <w:rPr>
                <w:rFonts w:ascii="Arial" w:hAnsi="Arial" w:cs="Arial"/>
                <w:sz w:val="20"/>
                <w:szCs w:val="20"/>
              </w:rPr>
            </w:pPr>
            <w:r w:rsidRPr="00767D1A">
              <w:rPr>
                <w:rFonts w:ascii="Arial" w:hAnsi="Arial" w:cs="Arial"/>
                <w:sz w:val="20"/>
                <w:szCs w:val="20"/>
              </w:rPr>
              <w:t>Additional data sources (publicly available or specific local datasets) can be easily added to CRDZ viewer to create a customized tool for research and analysis</w:t>
            </w:r>
          </w:p>
        </w:tc>
        <w:tc>
          <w:tcPr>
            <w:tcW w:w="2990" w:type="dxa"/>
          </w:tcPr>
          <w:p w14:paraId="2A0EDA6C" w14:textId="77777777" w:rsidR="00CD1320" w:rsidRPr="00767D1A" w:rsidRDefault="00CD1320" w:rsidP="0047650B">
            <w:pPr>
              <w:rPr>
                <w:rFonts w:ascii="Arial" w:hAnsi="Arial" w:cs="Arial"/>
                <w:sz w:val="20"/>
                <w:szCs w:val="20"/>
              </w:rPr>
            </w:pPr>
            <w:r w:rsidRPr="00767D1A">
              <w:rPr>
                <w:rFonts w:ascii="Arial" w:hAnsi="Arial" w:cs="Arial"/>
                <w:sz w:val="20"/>
                <w:szCs w:val="20"/>
              </w:rPr>
              <w:t>The methodology used to identify a CDRZ census tract differs from the methodology used by CEJST to identify a disadvantaged census tract</w:t>
            </w:r>
          </w:p>
        </w:tc>
        <w:tc>
          <w:tcPr>
            <w:tcW w:w="2135" w:type="dxa"/>
          </w:tcPr>
          <w:p w14:paraId="16DE19A9" w14:textId="77777777" w:rsidR="00CD1320" w:rsidRPr="00767D1A" w:rsidRDefault="00CD1320" w:rsidP="0047650B">
            <w:pPr>
              <w:spacing w:after="120"/>
              <w:rPr>
                <w:rFonts w:ascii="Arial" w:hAnsi="Arial" w:cs="Arial"/>
                <w:sz w:val="20"/>
                <w:szCs w:val="20"/>
              </w:rPr>
            </w:pPr>
            <w:hyperlink r:id="rId18" w:history="1">
              <w:r w:rsidRPr="00767D1A">
                <w:rPr>
                  <w:rStyle w:val="Hyperlink"/>
                  <w:rFonts w:ascii="Arial" w:hAnsi="Arial" w:cs="Arial"/>
                  <w:sz w:val="20"/>
                  <w:szCs w:val="20"/>
                </w:rPr>
                <w:t>National Risk Index</w:t>
              </w:r>
            </w:hyperlink>
            <w:r w:rsidRPr="00767D1A">
              <w:rPr>
                <w:rFonts w:ascii="Arial" w:hAnsi="Arial" w:cs="Arial"/>
                <w:sz w:val="20"/>
                <w:szCs w:val="20"/>
              </w:rPr>
              <w:t xml:space="preserve"> (NRI)</w:t>
            </w:r>
          </w:p>
          <w:p w14:paraId="618B1340" w14:textId="77777777" w:rsidR="00CD1320" w:rsidRPr="00767D1A" w:rsidRDefault="00CD1320" w:rsidP="0047650B">
            <w:pPr>
              <w:spacing w:after="120"/>
              <w:rPr>
                <w:rFonts w:ascii="Arial" w:hAnsi="Arial" w:cs="Arial"/>
                <w:sz w:val="20"/>
                <w:szCs w:val="20"/>
              </w:rPr>
            </w:pPr>
            <w:hyperlink r:id="rId19" w:history="1">
              <w:r w:rsidRPr="00767D1A">
                <w:rPr>
                  <w:rStyle w:val="Hyperlink"/>
                  <w:rFonts w:ascii="Arial" w:hAnsi="Arial" w:cs="Arial"/>
                  <w:sz w:val="20"/>
                  <w:szCs w:val="20"/>
                </w:rPr>
                <w:t>Climate and Economic Justice Screening Tool (CEJST)</w:t>
              </w:r>
            </w:hyperlink>
          </w:p>
          <w:p w14:paraId="2F6E7A8F"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CDC’s Social Vulnerability Index (SVI)</w:t>
            </w:r>
          </w:p>
        </w:tc>
      </w:tr>
      <w:tr w:rsidR="00CD1320" w:rsidRPr="00767D1A" w14:paraId="06061FA1" w14:textId="77777777" w:rsidTr="0047650B">
        <w:trPr>
          <w:cantSplit/>
        </w:trPr>
        <w:tc>
          <w:tcPr>
            <w:tcW w:w="2073" w:type="dxa"/>
          </w:tcPr>
          <w:p w14:paraId="5D2FF7A3" w14:textId="77777777" w:rsidR="00CD1320" w:rsidRPr="00767D1A" w:rsidRDefault="00CD1320" w:rsidP="0047650B">
            <w:pPr>
              <w:rPr>
                <w:rFonts w:ascii="Arial" w:hAnsi="Arial" w:cs="Arial"/>
                <w:sz w:val="20"/>
                <w:szCs w:val="20"/>
              </w:rPr>
            </w:pPr>
            <w:hyperlink r:id="rId20" w:history="1">
              <w:r w:rsidRPr="00767D1A">
                <w:rPr>
                  <w:rStyle w:val="Hyperlink"/>
                  <w:rFonts w:ascii="Arial" w:hAnsi="Arial" w:cs="Arial"/>
                  <w:sz w:val="20"/>
                  <w:szCs w:val="20"/>
                </w:rPr>
                <w:t>Resilience Analysis and Planning Tool (RAPT)</w:t>
              </w:r>
            </w:hyperlink>
          </w:p>
        </w:tc>
        <w:tc>
          <w:tcPr>
            <w:tcW w:w="2367" w:type="dxa"/>
          </w:tcPr>
          <w:p w14:paraId="143C0953" w14:textId="77777777" w:rsidR="00CD1320" w:rsidRPr="00767D1A" w:rsidRDefault="00CD1320" w:rsidP="0047650B">
            <w:pPr>
              <w:rPr>
                <w:rFonts w:ascii="Arial" w:hAnsi="Arial" w:cs="Arial"/>
                <w:b/>
                <w:bCs/>
                <w:sz w:val="20"/>
                <w:szCs w:val="20"/>
              </w:rPr>
            </w:pPr>
            <w:r w:rsidRPr="00767D1A">
              <w:rPr>
                <w:rFonts w:ascii="Arial" w:hAnsi="Arial" w:cs="Arial"/>
                <w:sz w:val="20"/>
                <w:szCs w:val="20"/>
              </w:rPr>
              <w:t>Identifies infrastructure and demographic characteristics that may be driving local community risk</w:t>
            </w:r>
          </w:p>
        </w:tc>
        <w:tc>
          <w:tcPr>
            <w:tcW w:w="2215" w:type="dxa"/>
          </w:tcPr>
          <w:p w14:paraId="5E3E7836"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To identify at-risk infrastructure assets in a community</w:t>
            </w:r>
          </w:p>
          <w:p w14:paraId="1D969F43"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To understand and analyze community demographics that affect resilience to climate change and natural hazards</w:t>
            </w:r>
          </w:p>
        </w:tc>
        <w:tc>
          <w:tcPr>
            <w:tcW w:w="2610" w:type="dxa"/>
          </w:tcPr>
          <w:p w14:paraId="3668998B"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Includes over 100 preloaded layers including community resilience indicators from peer-reviewed research, the most current census demographic data, infrastructure data, and data on weather, hazards, and risk</w:t>
            </w:r>
          </w:p>
          <w:p w14:paraId="65D738EB"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Includes easy to use analysis tools, the ability to add in data from other sources, and print and download functions</w:t>
            </w:r>
          </w:p>
        </w:tc>
        <w:tc>
          <w:tcPr>
            <w:tcW w:w="2990" w:type="dxa"/>
          </w:tcPr>
          <w:p w14:paraId="0CAF7DE5" w14:textId="77777777" w:rsidR="00CD1320" w:rsidRPr="00767D1A" w:rsidRDefault="00CD1320" w:rsidP="0047650B">
            <w:pPr>
              <w:rPr>
                <w:rFonts w:ascii="Arial" w:hAnsi="Arial" w:cs="Arial"/>
                <w:sz w:val="20"/>
                <w:szCs w:val="20"/>
              </w:rPr>
            </w:pPr>
            <w:r w:rsidRPr="00767D1A">
              <w:rPr>
                <w:rFonts w:ascii="Arial" w:hAnsi="Arial" w:cs="Arial"/>
                <w:sz w:val="20"/>
                <w:szCs w:val="20"/>
              </w:rPr>
              <w:t>Not all data layers are available at the census tract or tribal level</w:t>
            </w:r>
          </w:p>
        </w:tc>
        <w:tc>
          <w:tcPr>
            <w:tcW w:w="2135" w:type="dxa"/>
          </w:tcPr>
          <w:p w14:paraId="5DCE4DC7" w14:textId="52EDF7F1" w:rsidR="00CD1320" w:rsidRDefault="00CD1320" w:rsidP="0047650B">
            <w:pPr>
              <w:spacing w:after="120"/>
              <w:rPr>
                <w:rFonts w:ascii="Arial" w:hAnsi="Arial" w:cs="Arial"/>
                <w:i/>
                <w:iCs/>
                <w:sz w:val="20"/>
                <w:szCs w:val="20"/>
              </w:rPr>
            </w:pPr>
            <w:r>
              <w:rPr>
                <w:rFonts w:ascii="Arial" w:hAnsi="Arial" w:cs="Arial"/>
                <w:i/>
                <w:iCs/>
                <w:sz w:val="20"/>
                <w:szCs w:val="20"/>
              </w:rPr>
              <w:t xml:space="preserve">Demographic Data: </w:t>
            </w:r>
            <w:hyperlink r:id="rId21" w:history="1">
              <w:r w:rsidRPr="00CD1320">
                <w:rPr>
                  <w:rStyle w:val="Hyperlink"/>
                  <w:rFonts w:ascii="Arial" w:hAnsi="Arial" w:cs="Arial"/>
                  <w:sz w:val="20"/>
                  <w:szCs w:val="20"/>
                </w:rPr>
                <w:t>American Community Survey</w:t>
              </w:r>
            </w:hyperlink>
          </w:p>
          <w:p w14:paraId="3D6F3019" w14:textId="77777777" w:rsidR="00CD1320" w:rsidRPr="00767D1A" w:rsidRDefault="00CD1320" w:rsidP="0047650B">
            <w:pPr>
              <w:spacing w:after="120"/>
              <w:rPr>
                <w:rFonts w:ascii="Arial" w:hAnsi="Arial" w:cs="Arial"/>
                <w:sz w:val="20"/>
                <w:szCs w:val="20"/>
              </w:rPr>
            </w:pPr>
            <w:r w:rsidRPr="00767D1A">
              <w:rPr>
                <w:rFonts w:ascii="Arial" w:hAnsi="Arial" w:cs="Arial"/>
                <w:i/>
                <w:iCs/>
                <w:sz w:val="20"/>
                <w:szCs w:val="20"/>
              </w:rPr>
              <w:t xml:space="preserve">Infrastructure Data: </w:t>
            </w:r>
            <w:hyperlink r:id="rId22" w:tgtFrame="_blank" w:history="1">
              <w:r w:rsidRPr="00767D1A">
                <w:rPr>
                  <w:rStyle w:val="Hyperlink"/>
                  <w:rFonts w:ascii="Arial" w:hAnsi="Arial" w:cs="Arial"/>
                  <w:sz w:val="20"/>
                  <w:szCs w:val="20"/>
                </w:rPr>
                <w:t>Homeland Infrastructure Foundation-Level Data (HIFLD)</w:t>
              </w:r>
            </w:hyperlink>
          </w:p>
          <w:p w14:paraId="6D94F19E" w14:textId="77777777" w:rsidR="00CD1320" w:rsidRPr="00767D1A" w:rsidRDefault="00CD1320" w:rsidP="0047650B">
            <w:pPr>
              <w:spacing w:after="120"/>
              <w:rPr>
                <w:rFonts w:ascii="Arial" w:hAnsi="Arial" w:cs="Arial"/>
                <w:sz w:val="20"/>
                <w:szCs w:val="20"/>
              </w:rPr>
            </w:pPr>
            <w:r w:rsidRPr="00767D1A">
              <w:rPr>
                <w:rFonts w:ascii="Arial" w:hAnsi="Arial" w:cs="Arial"/>
                <w:i/>
                <w:iCs/>
                <w:sz w:val="20"/>
                <w:szCs w:val="20"/>
              </w:rPr>
              <w:t>Hazards Data:</w:t>
            </w:r>
            <w:r w:rsidRPr="00767D1A">
              <w:rPr>
                <w:rFonts w:ascii="Arial" w:hAnsi="Arial" w:cs="Arial"/>
                <w:sz w:val="20"/>
                <w:szCs w:val="20"/>
              </w:rPr>
              <w:t xml:space="preserve"> Numerous sources from the National Weather Service (NWS), the </w:t>
            </w:r>
            <w:r w:rsidRPr="00767D1A">
              <w:rPr>
                <w:rFonts w:ascii="Arial" w:hAnsi="Arial" w:cs="Arial"/>
                <w:color w:val="000000"/>
                <w:sz w:val="20"/>
                <w:szCs w:val="20"/>
                <w:shd w:val="clear" w:color="auto" w:fill="FFFFFF"/>
              </w:rPr>
              <w:t xml:space="preserve">National Oceanic and Atmospheric Administration (NOAA), the U.S. Geological Survey (USGS), and others, available </w:t>
            </w:r>
            <w:hyperlink r:id="rId23" w:history="1">
              <w:r w:rsidRPr="00767D1A">
                <w:rPr>
                  <w:rStyle w:val="Hyperlink"/>
                  <w:rFonts w:ascii="Arial" w:hAnsi="Arial" w:cs="Arial"/>
                  <w:sz w:val="20"/>
                  <w:szCs w:val="20"/>
                  <w:shd w:val="clear" w:color="auto" w:fill="FFFFFF"/>
                </w:rPr>
                <w:t>here</w:t>
              </w:r>
            </w:hyperlink>
          </w:p>
        </w:tc>
      </w:tr>
      <w:tr w:rsidR="00CD1320" w:rsidRPr="00767D1A" w14:paraId="289215E1" w14:textId="77777777" w:rsidTr="0047650B">
        <w:trPr>
          <w:cantSplit/>
        </w:trPr>
        <w:tc>
          <w:tcPr>
            <w:tcW w:w="2073" w:type="dxa"/>
          </w:tcPr>
          <w:p w14:paraId="33F82640" w14:textId="77777777" w:rsidR="00CD1320" w:rsidRPr="00767D1A" w:rsidRDefault="00CD1320" w:rsidP="0047650B">
            <w:pPr>
              <w:rPr>
                <w:rFonts w:ascii="Arial" w:hAnsi="Arial" w:cs="Arial"/>
                <w:sz w:val="20"/>
                <w:szCs w:val="20"/>
              </w:rPr>
            </w:pPr>
            <w:hyperlink r:id="rId24" w:history="1">
              <w:r w:rsidRPr="00767D1A">
                <w:rPr>
                  <w:rStyle w:val="Hyperlink"/>
                  <w:rFonts w:ascii="Arial" w:hAnsi="Arial" w:cs="Arial"/>
                  <w:sz w:val="20"/>
                  <w:szCs w:val="20"/>
                </w:rPr>
                <w:t>Social Vulnerability Index (SVI)</w:t>
              </w:r>
            </w:hyperlink>
          </w:p>
        </w:tc>
        <w:tc>
          <w:tcPr>
            <w:tcW w:w="2367" w:type="dxa"/>
          </w:tcPr>
          <w:p w14:paraId="51E03905" w14:textId="77777777" w:rsidR="00CD1320" w:rsidRPr="00767D1A" w:rsidRDefault="00CD1320" w:rsidP="0047650B">
            <w:pPr>
              <w:rPr>
                <w:rFonts w:ascii="Arial" w:hAnsi="Arial" w:cs="Arial"/>
                <w:color w:val="181818"/>
                <w:sz w:val="20"/>
                <w:szCs w:val="20"/>
                <w:shd w:val="clear" w:color="auto" w:fill="F0F0F0"/>
              </w:rPr>
            </w:pPr>
            <w:r w:rsidRPr="00767D1A">
              <w:rPr>
                <w:rFonts w:ascii="Arial" w:hAnsi="Arial" w:cs="Arial"/>
                <w:sz w:val="20"/>
                <w:szCs w:val="20"/>
              </w:rPr>
              <w:t>Presents demographic and socioeconomic factors (such as poverty, lack of access to transportation, and crowded housing) that adversely affect communities that encounter hazards and other community-level stressors</w:t>
            </w:r>
          </w:p>
        </w:tc>
        <w:tc>
          <w:tcPr>
            <w:tcW w:w="2215" w:type="dxa"/>
          </w:tcPr>
          <w:p w14:paraId="21F85181" w14:textId="77777777" w:rsidR="00CD1320" w:rsidRPr="00767D1A" w:rsidRDefault="00CD1320" w:rsidP="0047650B">
            <w:pPr>
              <w:rPr>
                <w:rFonts w:ascii="Arial" w:hAnsi="Arial" w:cs="Arial"/>
                <w:sz w:val="20"/>
                <w:szCs w:val="20"/>
              </w:rPr>
            </w:pPr>
            <w:r w:rsidRPr="00767D1A">
              <w:rPr>
                <w:rFonts w:ascii="Arial" w:hAnsi="Arial" w:cs="Arial"/>
                <w:sz w:val="20"/>
                <w:szCs w:val="20"/>
              </w:rPr>
              <w:t xml:space="preserve">To understand overall social vulnerability (SVI score) and make comparisons across census tracts, counties, states, and nationwide </w:t>
            </w:r>
          </w:p>
        </w:tc>
        <w:tc>
          <w:tcPr>
            <w:tcW w:w="2610" w:type="dxa"/>
          </w:tcPr>
          <w:p w14:paraId="4E5B8FCA" w14:textId="77777777" w:rsidR="00CD1320" w:rsidRPr="00767D1A" w:rsidRDefault="00CD1320" w:rsidP="0047650B">
            <w:pPr>
              <w:rPr>
                <w:rFonts w:ascii="Arial" w:hAnsi="Arial" w:cs="Arial"/>
                <w:sz w:val="20"/>
                <w:szCs w:val="20"/>
              </w:rPr>
            </w:pPr>
            <w:r w:rsidRPr="00767D1A">
              <w:rPr>
                <w:rFonts w:ascii="Arial" w:hAnsi="Arial" w:cs="Arial"/>
                <w:sz w:val="20"/>
                <w:szCs w:val="20"/>
              </w:rPr>
              <w:t>Uses 16 variables grouped under 4 areas of social vulnerability: socioeconomic status, household characteristics, racial and ethnic minority status, and housing type and transportation</w:t>
            </w:r>
          </w:p>
        </w:tc>
        <w:tc>
          <w:tcPr>
            <w:tcW w:w="2990" w:type="dxa"/>
          </w:tcPr>
          <w:p w14:paraId="29A80EA1" w14:textId="77777777" w:rsidR="00CD1320" w:rsidRPr="00052800" w:rsidRDefault="00CD1320" w:rsidP="0047650B">
            <w:pPr>
              <w:rPr>
                <w:rFonts w:ascii="Arial" w:hAnsi="Arial" w:cs="Arial"/>
                <w:sz w:val="20"/>
                <w:szCs w:val="20"/>
              </w:rPr>
            </w:pPr>
            <w:r w:rsidRPr="00052800">
              <w:rPr>
                <w:rFonts w:ascii="Arial" w:hAnsi="Arial" w:cs="Arial"/>
                <w:sz w:val="20"/>
                <w:szCs w:val="20"/>
              </w:rPr>
              <w:t xml:space="preserve">The tool is updated every 2 years, and census tracts are updated every 10 years; this can affect year-over-year comparisons of a given community’s social vulnerability </w:t>
            </w:r>
          </w:p>
        </w:tc>
        <w:tc>
          <w:tcPr>
            <w:tcW w:w="2135" w:type="dxa"/>
          </w:tcPr>
          <w:p w14:paraId="2F45EC96" w14:textId="625E5668" w:rsidR="00CD1320" w:rsidRPr="00052800" w:rsidRDefault="00CD1320" w:rsidP="0047650B">
            <w:pPr>
              <w:rPr>
                <w:rFonts w:ascii="Arial" w:hAnsi="Arial" w:cs="Arial"/>
                <w:sz w:val="20"/>
                <w:szCs w:val="20"/>
              </w:rPr>
            </w:pPr>
            <w:hyperlink r:id="rId25" w:history="1">
              <w:r w:rsidRPr="00CD1320">
                <w:rPr>
                  <w:rStyle w:val="Hyperlink"/>
                  <w:rFonts w:ascii="Arial" w:hAnsi="Arial" w:cs="Arial"/>
                  <w:sz w:val="20"/>
                  <w:szCs w:val="20"/>
                </w:rPr>
                <w:t>American Community Survey</w:t>
              </w:r>
            </w:hyperlink>
          </w:p>
        </w:tc>
      </w:tr>
      <w:tr w:rsidR="00CD1320" w:rsidRPr="00767D1A" w14:paraId="7512E15B" w14:textId="77777777" w:rsidTr="0047650B">
        <w:trPr>
          <w:cantSplit/>
        </w:trPr>
        <w:tc>
          <w:tcPr>
            <w:tcW w:w="2073" w:type="dxa"/>
          </w:tcPr>
          <w:p w14:paraId="075E14FC" w14:textId="77777777" w:rsidR="00CD1320" w:rsidRPr="00767D1A" w:rsidRDefault="00CD1320" w:rsidP="0047650B">
            <w:pPr>
              <w:rPr>
                <w:rFonts w:ascii="Arial" w:hAnsi="Arial" w:cs="Arial"/>
                <w:sz w:val="20"/>
                <w:szCs w:val="20"/>
              </w:rPr>
            </w:pPr>
            <w:hyperlink r:id="rId26" w:history="1">
              <w:r w:rsidRPr="00767D1A">
                <w:rPr>
                  <w:rStyle w:val="Hyperlink"/>
                  <w:rFonts w:ascii="Arial" w:hAnsi="Arial" w:cs="Arial"/>
                  <w:sz w:val="20"/>
                  <w:szCs w:val="20"/>
                </w:rPr>
                <w:t>Climate Risk and Resilience Portal (ClimRR)</w:t>
              </w:r>
            </w:hyperlink>
            <w:r w:rsidRPr="00767D1A">
              <w:rPr>
                <w:rFonts w:ascii="Source Sans Pro" w:hAnsi="Source Sans Pro"/>
                <w:color w:val="1B1B1B"/>
                <w:sz w:val="26"/>
                <w:szCs w:val="26"/>
                <w:shd w:val="clear" w:color="auto" w:fill="FFFFFF"/>
              </w:rPr>
              <w:t> </w:t>
            </w:r>
          </w:p>
        </w:tc>
        <w:tc>
          <w:tcPr>
            <w:tcW w:w="2367" w:type="dxa"/>
          </w:tcPr>
          <w:p w14:paraId="3F57BC86" w14:textId="77777777" w:rsidR="00CD1320" w:rsidRPr="00767D1A" w:rsidRDefault="00CD1320" w:rsidP="0047650B">
            <w:pPr>
              <w:rPr>
                <w:rFonts w:ascii="Arial" w:hAnsi="Arial" w:cs="Arial"/>
                <w:sz w:val="20"/>
                <w:szCs w:val="20"/>
              </w:rPr>
            </w:pPr>
            <w:r w:rsidRPr="00767D1A">
              <w:rPr>
                <w:rFonts w:ascii="Arial" w:hAnsi="Arial" w:cs="Arial"/>
                <w:sz w:val="20"/>
                <w:szCs w:val="20"/>
              </w:rPr>
              <w:t>Provides science-based climate projections for specific points, addresses, census tracts, and counties</w:t>
            </w:r>
          </w:p>
        </w:tc>
        <w:tc>
          <w:tcPr>
            <w:tcW w:w="2215" w:type="dxa"/>
          </w:tcPr>
          <w:p w14:paraId="23E82444" w14:textId="77777777" w:rsidR="00CD1320" w:rsidRPr="00767D1A" w:rsidRDefault="00CD1320" w:rsidP="0047650B">
            <w:pPr>
              <w:rPr>
                <w:rFonts w:ascii="Arial" w:hAnsi="Arial" w:cs="Arial"/>
                <w:sz w:val="20"/>
                <w:szCs w:val="20"/>
              </w:rPr>
            </w:pPr>
            <w:r w:rsidRPr="00767D1A">
              <w:rPr>
                <w:rFonts w:ascii="Arial" w:hAnsi="Arial" w:cs="Arial"/>
                <w:sz w:val="20"/>
                <w:szCs w:val="20"/>
              </w:rPr>
              <w:t>To understand project impacts of climate change, including increases in temperature, heat index, winds, wildfires, and precipitation</w:t>
            </w:r>
          </w:p>
        </w:tc>
        <w:tc>
          <w:tcPr>
            <w:tcW w:w="2610" w:type="dxa"/>
          </w:tcPr>
          <w:p w14:paraId="1BC41867"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ClimRR models over 60 climate variables to present climate change projections</w:t>
            </w:r>
          </w:p>
          <w:p w14:paraId="4CE8D6C6"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Includes basic infrastructure layers, and data from ClimRR can be combined with RAPT data to contextualize local-scale climate projections</w:t>
            </w:r>
          </w:p>
          <w:p w14:paraId="1B843BFB"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The </w:t>
            </w:r>
            <w:hyperlink r:id="rId27" w:history="1">
              <w:r w:rsidRPr="00767D1A">
                <w:rPr>
                  <w:rStyle w:val="Hyperlink"/>
                  <w:rFonts w:ascii="Arial" w:hAnsi="Arial" w:cs="Arial"/>
                  <w:sz w:val="20"/>
                  <w:szCs w:val="20"/>
                </w:rPr>
                <w:t>ClimRR Report Generator</w:t>
              </w:r>
            </w:hyperlink>
            <w:r w:rsidRPr="00767D1A">
              <w:rPr>
                <w:rFonts w:ascii="Arial" w:hAnsi="Arial" w:cs="Arial"/>
                <w:sz w:val="20"/>
                <w:szCs w:val="20"/>
              </w:rPr>
              <w:t xml:space="preserve"> is an easy way for users to get all available historical and future climate information for a specific location (address, latitude/longitude, etc.)</w:t>
            </w:r>
          </w:p>
        </w:tc>
        <w:tc>
          <w:tcPr>
            <w:tcW w:w="2990" w:type="dxa"/>
          </w:tcPr>
          <w:p w14:paraId="3AFDBBB0" w14:textId="77777777" w:rsidR="00CD1320" w:rsidRPr="00767D1A" w:rsidRDefault="00CD1320" w:rsidP="0047650B">
            <w:pPr>
              <w:rPr>
                <w:rFonts w:ascii="Arial" w:hAnsi="Arial" w:cs="Arial"/>
                <w:sz w:val="20"/>
                <w:szCs w:val="20"/>
              </w:rPr>
            </w:pPr>
            <w:r w:rsidRPr="00767D1A">
              <w:rPr>
                <w:rFonts w:ascii="Arial" w:hAnsi="Arial" w:cs="Arial"/>
                <w:sz w:val="20"/>
                <w:szCs w:val="20"/>
              </w:rPr>
              <w:t>Does not address projected sea level rise in given climate change scenarios</w:t>
            </w:r>
          </w:p>
        </w:tc>
        <w:tc>
          <w:tcPr>
            <w:tcW w:w="2135" w:type="dxa"/>
          </w:tcPr>
          <w:p w14:paraId="33162EEC" w14:textId="77777777" w:rsidR="00CD1320" w:rsidRPr="00767D1A" w:rsidRDefault="00CD1320" w:rsidP="0047650B">
            <w:pPr>
              <w:rPr>
                <w:rFonts w:ascii="Arial" w:hAnsi="Arial" w:cs="Arial"/>
                <w:sz w:val="20"/>
                <w:szCs w:val="20"/>
              </w:rPr>
            </w:pPr>
            <w:r w:rsidRPr="00767D1A">
              <w:rPr>
                <w:rFonts w:ascii="Arial" w:hAnsi="Arial" w:cs="Arial"/>
                <w:sz w:val="20"/>
                <w:szCs w:val="20"/>
              </w:rPr>
              <w:t xml:space="preserve">Argonne National Laboratory Climate Projections, available </w:t>
            </w:r>
            <w:hyperlink r:id="rId28" w:history="1">
              <w:r w:rsidRPr="00767D1A">
                <w:rPr>
                  <w:rStyle w:val="Hyperlink"/>
                  <w:rFonts w:ascii="Arial" w:hAnsi="Arial" w:cs="Arial"/>
                  <w:sz w:val="20"/>
                  <w:szCs w:val="20"/>
                </w:rPr>
                <w:t>here</w:t>
              </w:r>
            </w:hyperlink>
          </w:p>
        </w:tc>
      </w:tr>
      <w:tr w:rsidR="00CD1320" w:rsidRPr="00767D1A" w14:paraId="015B0E29" w14:textId="77777777" w:rsidTr="0047650B">
        <w:trPr>
          <w:cantSplit/>
        </w:trPr>
        <w:tc>
          <w:tcPr>
            <w:tcW w:w="2073" w:type="dxa"/>
          </w:tcPr>
          <w:p w14:paraId="705C6727" w14:textId="77777777" w:rsidR="00CD1320" w:rsidRPr="00767D1A" w:rsidRDefault="00CD1320" w:rsidP="0047650B">
            <w:r w:rsidRPr="00767D1A">
              <w:rPr>
                <w:rStyle w:val="Hyperlink"/>
                <w:rFonts w:ascii="Arial" w:hAnsi="Arial" w:cs="Arial"/>
                <w:sz w:val="20"/>
                <w:szCs w:val="20"/>
              </w:rPr>
              <w:lastRenderedPageBreak/>
              <w:t>Grant Equity Threshold Tool (GETT)</w:t>
            </w:r>
          </w:p>
        </w:tc>
        <w:tc>
          <w:tcPr>
            <w:tcW w:w="2367" w:type="dxa"/>
          </w:tcPr>
          <w:p w14:paraId="23EE3031" w14:textId="77777777" w:rsidR="00CD1320" w:rsidRPr="00767D1A" w:rsidRDefault="00CD1320" w:rsidP="0047650B">
            <w:pPr>
              <w:rPr>
                <w:rFonts w:ascii="Arial" w:hAnsi="Arial" w:cs="Arial"/>
                <w:sz w:val="20"/>
                <w:szCs w:val="20"/>
              </w:rPr>
            </w:pPr>
            <w:r w:rsidRPr="00767D1A">
              <w:rPr>
                <w:rFonts w:ascii="Arial" w:hAnsi="Arial" w:cs="Arial"/>
                <w:sz w:val="20"/>
                <w:szCs w:val="20"/>
              </w:rPr>
              <w:t>Provides grant applicants with an easy-to-use tool for calculating the percentage of their population that live in CEJST disadvantaged communities, CRDZ-designed zones, and Community Resilience Challenges Index (CRCI) bins</w:t>
            </w:r>
          </w:p>
        </w:tc>
        <w:tc>
          <w:tcPr>
            <w:tcW w:w="2215" w:type="dxa"/>
          </w:tcPr>
          <w:p w14:paraId="03BB865F" w14:textId="77777777" w:rsidR="00CD1320" w:rsidRPr="00767D1A" w:rsidRDefault="00CD1320" w:rsidP="0047650B">
            <w:pPr>
              <w:rPr>
                <w:rFonts w:ascii="Arial" w:hAnsi="Arial" w:cs="Arial"/>
                <w:sz w:val="20"/>
                <w:szCs w:val="20"/>
              </w:rPr>
            </w:pPr>
            <w:r w:rsidRPr="00767D1A">
              <w:rPr>
                <w:rFonts w:ascii="Arial" w:hAnsi="Arial" w:cs="Arial"/>
                <w:sz w:val="20"/>
                <w:szCs w:val="20"/>
              </w:rPr>
              <w:t>To help grant applicants demonstrate how their projects support the Justice40 Initiative by focusing efforts on disadvantaged communities and Tribal Lands</w:t>
            </w:r>
          </w:p>
        </w:tc>
        <w:tc>
          <w:tcPr>
            <w:tcW w:w="2610" w:type="dxa"/>
          </w:tcPr>
          <w:p w14:paraId="4C1E9153"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An easy way for grant applicants to demonstrate that proposed projects and activities meet (or exceed) the 40 percent threshold established by the Justice40 Initiative to provide benefits to disadvantaged areas</w:t>
            </w:r>
          </w:p>
          <w:p w14:paraId="4BB9FA70"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Provides shapefiles that can be exported and included with grant application submissions</w:t>
            </w:r>
          </w:p>
          <w:p w14:paraId="38C979FF" w14:textId="77777777" w:rsidR="00CD1320" w:rsidRPr="00767D1A" w:rsidRDefault="00CD1320" w:rsidP="0047650B">
            <w:pPr>
              <w:spacing w:after="120"/>
              <w:rPr>
                <w:rFonts w:ascii="Source Sans Pro" w:hAnsi="Source Sans Pro"/>
                <w:color w:val="1B1B1B"/>
                <w:sz w:val="26"/>
                <w:szCs w:val="26"/>
                <w:shd w:val="clear" w:color="auto" w:fill="FFFFFF"/>
              </w:rPr>
            </w:pPr>
            <w:r w:rsidRPr="00767D1A">
              <w:rPr>
                <w:rFonts w:ascii="Arial" w:hAnsi="Arial" w:cs="Arial"/>
                <w:sz w:val="20"/>
                <w:szCs w:val="20"/>
              </w:rPr>
              <w:t>GETT data can be added to RAPT for additional community demographic analysis</w:t>
            </w:r>
          </w:p>
        </w:tc>
        <w:tc>
          <w:tcPr>
            <w:tcW w:w="2990" w:type="dxa"/>
          </w:tcPr>
          <w:p w14:paraId="245A0747" w14:textId="77777777" w:rsidR="00CD1320" w:rsidRPr="00767D1A" w:rsidRDefault="00CD1320" w:rsidP="0047650B">
            <w:pPr>
              <w:rPr>
                <w:rFonts w:ascii="Arial" w:hAnsi="Arial" w:cs="Arial"/>
                <w:sz w:val="20"/>
                <w:szCs w:val="20"/>
              </w:rPr>
            </w:pPr>
            <w:r w:rsidRPr="00767D1A">
              <w:rPr>
                <w:rFonts w:ascii="Arial" w:hAnsi="Arial" w:cs="Arial"/>
                <w:sz w:val="20"/>
                <w:szCs w:val="20"/>
              </w:rPr>
              <w:t>Because the tool is largely designed for and targeted to grant applications, it should be used in conjunction with other tools in this matrix to understand risk, vulnerability, and hazards</w:t>
            </w:r>
          </w:p>
        </w:tc>
        <w:tc>
          <w:tcPr>
            <w:tcW w:w="2135" w:type="dxa"/>
          </w:tcPr>
          <w:p w14:paraId="2CD5E7E4" w14:textId="77777777" w:rsidR="00CD1320" w:rsidRPr="00767D1A" w:rsidRDefault="00CD1320" w:rsidP="0047650B">
            <w:pPr>
              <w:spacing w:after="120"/>
              <w:rPr>
                <w:rFonts w:ascii="Arial" w:hAnsi="Arial" w:cs="Arial"/>
                <w:sz w:val="20"/>
                <w:szCs w:val="20"/>
              </w:rPr>
            </w:pPr>
            <w:hyperlink r:id="rId29" w:history="1">
              <w:r w:rsidRPr="00767D1A">
                <w:rPr>
                  <w:rStyle w:val="Hyperlink"/>
                  <w:rFonts w:ascii="Arial" w:hAnsi="Arial" w:cs="Arial"/>
                  <w:sz w:val="20"/>
                  <w:szCs w:val="20"/>
                </w:rPr>
                <w:t>Climate and Economic Justice Screening Tool (CEJST)</w:t>
              </w:r>
            </w:hyperlink>
          </w:p>
          <w:p w14:paraId="252DD90A" w14:textId="77777777" w:rsidR="00CD1320" w:rsidRPr="00767D1A" w:rsidRDefault="00CD1320" w:rsidP="0047650B">
            <w:pPr>
              <w:spacing w:after="120"/>
              <w:rPr>
                <w:rFonts w:ascii="Arial" w:hAnsi="Arial" w:cs="Arial"/>
                <w:sz w:val="20"/>
                <w:szCs w:val="20"/>
              </w:rPr>
            </w:pPr>
            <w:hyperlink r:id="rId30" w:history="1">
              <w:r w:rsidRPr="00767D1A">
                <w:rPr>
                  <w:rStyle w:val="Hyperlink"/>
                  <w:rFonts w:ascii="Arial" w:hAnsi="Arial" w:cs="Arial"/>
                  <w:sz w:val="20"/>
                  <w:szCs w:val="20"/>
                </w:rPr>
                <w:t>Community Disaster Resilience Zones (CDRZ)</w:t>
              </w:r>
            </w:hyperlink>
          </w:p>
          <w:p w14:paraId="6AEC2BD9" w14:textId="77777777" w:rsidR="00CD1320" w:rsidRPr="00767D1A" w:rsidRDefault="00CD1320" w:rsidP="0047650B">
            <w:pPr>
              <w:spacing w:after="120"/>
              <w:rPr>
                <w:rFonts w:ascii="Arial" w:hAnsi="Arial" w:cs="Arial"/>
                <w:sz w:val="20"/>
                <w:szCs w:val="20"/>
              </w:rPr>
            </w:pPr>
            <w:hyperlink r:id="rId31" w:history="1">
              <w:r w:rsidRPr="00767D1A">
                <w:rPr>
                  <w:rStyle w:val="Hyperlink"/>
                  <w:rFonts w:ascii="Arial" w:hAnsi="Arial" w:cs="Arial"/>
                  <w:sz w:val="20"/>
                  <w:szCs w:val="20"/>
                </w:rPr>
                <w:t>Community Resilience Challenges Index (CRCI)</w:t>
              </w:r>
            </w:hyperlink>
          </w:p>
        </w:tc>
      </w:tr>
      <w:tr w:rsidR="00CD1320" w14:paraId="549D5A17" w14:textId="77777777" w:rsidTr="0047650B">
        <w:trPr>
          <w:cantSplit/>
        </w:trPr>
        <w:tc>
          <w:tcPr>
            <w:tcW w:w="2073" w:type="dxa"/>
          </w:tcPr>
          <w:p w14:paraId="1D3AE4C8" w14:textId="77777777" w:rsidR="00CD1320" w:rsidRPr="00767D1A" w:rsidRDefault="00CD1320" w:rsidP="0047650B">
            <w:pPr>
              <w:rPr>
                <w:rFonts w:ascii="Arial" w:hAnsi="Arial" w:cs="Arial"/>
                <w:sz w:val="20"/>
                <w:szCs w:val="20"/>
              </w:rPr>
            </w:pPr>
            <w:hyperlink r:id="rId32" w:history="1">
              <w:r w:rsidRPr="00767D1A">
                <w:rPr>
                  <w:rStyle w:val="Hyperlink"/>
                  <w:rFonts w:ascii="Arial" w:hAnsi="Arial" w:cs="Arial"/>
                  <w:sz w:val="20"/>
                  <w:szCs w:val="20"/>
                </w:rPr>
                <w:t>Climate Mapping for Resilience and Adaptation</w:t>
              </w:r>
            </w:hyperlink>
            <w:r w:rsidRPr="00767D1A">
              <w:rPr>
                <w:rFonts w:ascii="Arial" w:hAnsi="Arial" w:cs="Arial"/>
                <w:sz w:val="20"/>
                <w:szCs w:val="20"/>
              </w:rPr>
              <w:t xml:space="preserve"> (CMRA)</w:t>
            </w:r>
          </w:p>
        </w:tc>
        <w:tc>
          <w:tcPr>
            <w:tcW w:w="2367" w:type="dxa"/>
          </w:tcPr>
          <w:p w14:paraId="776794BC" w14:textId="77777777" w:rsidR="00CD1320" w:rsidRPr="00767D1A" w:rsidRDefault="00CD1320" w:rsidP="0047650B">
            <w:pPr>
              <w:rPr>
                <w:rFonts w:ascii="Arial" w:hAnsi="Arial" w:cs="Arial"/>
                <w:sz w:val="20"/>
                <w:szCs w:val="20"/>
              </w:rPr>
            </w:pPr>
            <w:r w:rsidRPr="00767D1A">
              <w:rPr>
                <w:rFonts w:ascii="Arial" w:hAnsi="Arial" w:cs="Arial"/>
                <w:sz w:val="20"/>
                <w:szCs w:val="20"/>
              </w:rPr>
              <w:t>An interactive application that provides statistics, maps, and reports on climate conditions for every county and how common climate hazards are projected to change over the next several decades</w:t>
            </w:r>
          </w:p>
        </w:tc>
        <w:tc>
          <w:tcPr>
            <w:tcW w:w="2215" w:type="dxa"/>
          </w:tcPr>
          <w:p w14:paraId="5BC1F1F5" w14:textId="77777777" w:rsidR="00CD1320" w:rsidRPr="00767D1A" w:rsidRDefault="00CD1320" w:rsidP="0047650B">
            <w:pPr>
              <w:rPr>
                <w:rFonts w:ascii="Arial" w:hAnsi="Arial" w:cs="Arial"/>
                <w:sz w:val="20"/>
                <w:szCs w:val="20"/>
              </w:rPr>
            </w:pPr>
            <w:r w:rsidRPr="00767D1A">
              <w:rPr>
                <w:rFonts w:ascii="Arial" w:hAnsi="Arial" w:cs="Arial"/>
                <w:sz w:val="20"/>
                <w:szCs w:val="20"/>
              </w:rPr>
              <w:t>To help understand if and how people, property, and infrastructure could be exposed to changing climate-related hazards, including</w:t>
            </w:r>
          </w:p>
          <w:p w14:paraId="3A6C3D9D" w14:textId="77777777" w:rsidR="00CD1320" w:rsidRPr="00767D1A" w:rsidRDefault="00CD1320" w:rsidP="0047650B">
            <w:pPr>
              <w:rPr>
                <w:rFonts w:ascii="Arial" w:hAnsi="Arial" w:cs="Arial"/>
                <w:sz w:val="20"/>
                <w:szCs w:val="20"/>
              </w:rPr>
            </w:pPr>
            <w:r w:rsidRPr="00767D1A">
              <w:rPr>
                <w:rFonts w:ascii="Arial" w:hAnsi="Arial" w:cs="Arial"/>
                <w:sz w:val="20"/>
                <w:szCs w:val="20"/>
              </w:rPr>
              <w:t>extreme heat, drought, wildfire, flooding, and coastal inundation</w:t>
            </w:r>
          </w:p>
        </w:tc>
        <w:tc>
          <w:tcPr>
            <w:tcW w:w="2610" w:type="dxa"/>
          </w:tcPr>
          <w:p w14:paraId="6584824E"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Provides an option for customizable, downloadable reports to documenting past, present, and projected conditions related to common climate hazards</w:t>
            </w:r>
          </w:p>
          <w:p w14:paraId="2787D51C" w14:textId="77777777" w:rsidR="00CD1320" w:rsidRPr="00767D1A" w:rsidRDefault="00CD1320" w:rsidP="0047650B">
            <w:pPr>
              <w:spacing w:after="120"/>
              <w:rPr>
                <w:rFonts w:ascii="Arial" w:hAnsi="Arial" w:cs="Arial"/>
                <w:sz w:val="20"/>
                <w:szCs w:val="20"/>
              </w:rPr>
            </w:pPr>
            <w:r w:rsidRPr="00767D1A">
              <w:rPr>
                <w:rFonts w:ascii="Arial" w:hAnsi="Arial" w:cs="Arial"/>
                <w:sz w:val="20"/>
                <w:szCs w:val="20"/>
              </w:rPr>
              <w:t>Allows users examine the intersection of climate data with other information products such as CEJST and Building Code Adoption Tracking</w:t>
            </w:r>
          </w:p>
        </w:tc>
        <w:tc>
          <w:tcPr>
            <w:tcW w:w="2990" w:type="dxa"/>
          </w:tcPr>
          <w:p w14:paraId="210766CB" w14:textId="77777777" w:rsidR="00CD1320" w:rsidRPr="00767D1A" w:rsidRDefault="00CD1320" w:rsidP="0047650B">
            <w:pPr>
              <w:rPr>
                <w:rFonts w:ascii="Arial" w:hAnsi="Arial" w:cs="Arial"/>
                <w:sz w:val="20"/>
                <w:szCs w:val="20"/>
              </w:rPr>
            </w:pPr>
            <w:r w:rsidRPr="00767D1A">
              <w:rPr>
                <w:rFonts w:ascii="Arial" w:hAnsi="Arial" w:cs="Arial"/>
                <w:sz w:val="20"/>
                <w:szCs w:val="20"/>
              </w:rPr>
              <w:t xml:space="preserve">Like most climate projections, values reported in the tool are 30-year averages; users should pay attention to the full range of projections and consider even the most extreme projections as plausible </w:t>
            </w:r>
          </w:p>
          <w:p w14:paraId="33FF487F" w14:textId="77777777" w:rsidR="00CD1320" w:rsidRPr="00767D1A" w:rsidRDefault="00CD1320" w:rsidP="0047650B">
            <w:pPr>
              <w:rPr>
                <w:rFonts w:ascii="Arial" w:hAnsi="Arial" w:cs="Arial"/>
                <w:sz w:val="20"/>
                <w:szCs w:val="20"/>
              </w:rPr>
            </w:pPr>
          </w:p>
        </w:tc>
        <w:tc>
          <w:tcPr>
            <w:tcW w:w="2135" w:type="dxa"/>
          </w:tcPr>
          <w:p w14:paraId="638D064D" w14:textId="77777777" w:rsidR="00CD1320" w:rsidRPr="00767D1A" w:rsidRDefault="00CD1320" w:rsidP="0047650B">
            <w:pPr>
              <w:spacing w:after="120"/>
              <w:rPr>
                <w:rFonts w:ascii="Arial" w:hAnsi="Arial" w:cs="Arial"/>
                <w:sz w:val="20"/>
                <w:szCs w:val="20"/>
              </w:rPr>
            </w:pPr>
            <w:hyperlink r:id="rId33" w:history="1">
              <w:r w:rsidRPr="00767D1A">
                <w:rPr>
                  <w:rStyle w:val="Hyperlink"/>
                  <w:rFonts w:ascii="Arial" w:hAnsi="Arial" w:cs="Arial"/>
                  <w:sz w:val="20"/>
                  <w:szCs w:val="20"/>
                </w:rPr>
                <w:t>U.S. Census Mapping Files</w:t>
              </w:r>
            </w:hyperlink>
            <w:r w:rsidRPr="00767D1A">
              <w:rPr>
                <w:rFonts w:ascii="Arial" w:hAnsi="Arial" w:cs="Arial"/>
                <w:sz w:val="20"/>
                <w:szCs w:val="20"/>
              </w:rPr>
              <w:t>, 2019</w:t>
            </w:r>
          </w:p>
          <w:p w14:paraId="3437B3D5" w14:textId="1B329A0B" w:rsidR="00CD1320" w:rsidRPr="00767D1A" w:rsidRDefault="00CD1320" w:rsidP="0047650B">
            <w:pPr>
              <w:spacing w:after="120"/>
              <w:rPr>
                <w:rFonts w:ascii="Arial" w:hAnsi="Arial" w:cs="Arial"/>
                <w:sz w:val="20"/>
                <w:szCs w:val="20"/>
              </w:rPr>
            </w:pPr>
            <w:hyperlink r:id="rId34" w:history="1">
              <w:r w:rsidRPr="00767D1A">
                <w:rPr>
                  <w:rStyle w:val="Hyperlink"/>
                  <w:rFonts w:ascii="Arial" w:hAnsi="Arial" w:cs="Arial"/>
                  <w:sz w:val="20"/>
                  <w:szCs w:val="20"/>
                </w:rPr>
                <w:t>Scenarios for the National Climate Assessment</w:t>
              </w:r>
            </w:hyperlink>
          </w:p>
          <w:p w14:paraId="57FAAF85" w14:textId="77777777" w:rsidR="00CD1320" w:rsidRPr="00767D1A" w:rsidRDefault="00CD1320" w:rsidP="0047650B">
            <w:pPr>
              <w:spacing w:after="120"/>
              <w:rPr>
                <w:rFonts w:ascii="Arial" w:hAnsi="Arial" w:cs="Arial"/>
                <w:sz w:val="20"/>
                <w:szCs w:val="20"/>
              </w:rPr>
            </w:pPr>
            <w:hyperlink r:id="rId35" w:history="1">
              <w:r w:rsidRPr="00767D1A">
                <w:rPr>
                  <w:rStyle w:val="Hyperlink"/>
                  <w:rFonts w:ascii="Arial" w:hAnsi="Arial" w:cs="Arial"/>
                  <w:sz w:val="20"/>
                  <w:szCs w:val="20"/>
                </w:rPr>
                <w:t>NOAA Coastal Digital Elevation Models</w:t>
              </w:r>
            </w:hyperlink>
          </w:p>
          <w:p w14:paraId="472C638C" w14:textId="5341BBD7" w:rsidR="00CD1320" w:rsidRPr="00767D1A" w:rsidRDefault="00CD1320" w:rsidP="0047650B">
            <w:pPr>
              <w:spacing w:after="120"/>
              <w:rPr>
                <w:rFonts w:ascii="Arial" w:hAnsi="Arial" w:cs="Arial"/>
                <w:sz w:val="20"/>
                <w:szCs w:val="20"/>
              </w:rPr>
            </w:pPr>
            <w:hyperlink r:id="rId36" w:history="1">
              <w:r w:rsidRPr="00767D1A">
                <w:rPr>
                  <w:rStyle w:val="Hyperlink"/>
                  <w:rFonts w:ascii="Arial" w:hAnsi="Arial" w:cs="Arial"/>
                  <w:sz w:val="20"/>
                  <w:szCs w:val="20"/>
                </w:rPr>
                <w:t>National Levee Database</w:t>
              </w:r>
            </w:hyperlink>
          </w:p>
          <w:p w14:paraId="0CF3D0B9" w14:textId="77777777" w:rsidR="00CD1320" w:rsidRPr="00767D1A" w:rsidRDefault="00CD1320" w:rsidP="0047650B">
            <w:pPr>
              <w:spacing w:after="120"/>
              <w:rPr>
                <w:rFonts w:ascii="Arial" w:hAnsi="Arial" w:cs="Arial"/>
                <w:sz w:val="20"/>
                <w:szCs w:val="20"/>
              </w:rPr>
            </w:pPr>
            <w:hyperlink r:id="rId37" w:history="1">
              <w:r w:rsidRPr="00767D1A">
                <w:rPr>
                  <w:rStyle w:val="Hyperlink"/>
                  <w:rFonts w:ascii="Arial" w:hAnsi="Arial" w:cs="Arial"/>
                  <w:sz w:val="20"/>
                  <w:szCs w:val="20"/>
                </w:rPr>
                <w:t>FEMA National Flood Hazard Layer</w:t>
              </w:r>
            </w:hyperlink>
          </w:p>
          <w:p w14:paraId="009AFB0A" w14:textId="77777777" w:rsidR="00CD1320" w:rsidRPr="00B47F83" w:rsidRDefault="00CD1320" w:rsidP="0047650B">
            <w:pPr>
              <w:spacing w:after="120"/>
              <w:rPr>
                <w:rFonts w:ascii="Arial" w:hAnsi="Arial" w:cs="Arial"/>
                <w:sz w:val="20"/>
                <w:szCs w:val="20"/>
              </w:rPr>
            </w:pPr>
            <w:hyperlink r:id="rId38" w:history="1">
              <w:r w:rsidRPr="00767D1A">
                <w:rPr>
                  <w:rStyle w:val="Hyperlink"/>
                  <w:rFonts w:ascii="Arial" w:hAnsi="Arial" w:cs="Arial"/>
                  <w:sz w:val="20"/>
                  <w:szCs w:val="20"/>
                </w:rPr>
                <w:t>Building Code Adoption Tracking</w:t>
              </w:r>
            </w:hyperlink>
          </w:p>
        </w:tc>
      </w:tr>
    </w:tbl>
    <w:p w14:paraId="3D8C1D75" w14:textId="536273B4" w:rsidR="000F1B46" w:rsidRPr="00CD1320" w:rsidRDefault="000F1B46" w:rsidP="00CD1320">
      <w:pPr>
        <w:pStyle w:val="Heading3"/>
        <w:spacing w:before="0" w:line="240" w:lineRule="auto"/>
        <w:rPr>
          <w:rFonts w:ascii="Aptos" w:hAnsi="Aptos"/>
          <w:color w:val="0F4861" w:themeColor="text2"/>
        </w:rPr>
      </w:pPr>
    </w:p>
    <w:p w14:paraId="1E6A3DC0" w14:textId="55A92DB1" w:rsidR="00C20888" w:rsidRPr="000B7BB6" w:rsidRDefault="00C20888" w:rsidP="000F1B46">
      <w:pPr>
        <w:spacing w:after="80"/>
        <w:jc w:val="center"/>
        <w:rPr>
          <w:rFonts w:ascii="Aptos" w:hAnsi="Aptos" w:cs="Arial"/>
          <w:b/>
          <w:bCs/>
          <w:color w:val="0F4861" w:themeColor="text2"/>
          <w:sz w:val="28"/>
          <w:szCs w:val="28"/>
        </w:rPr>
      </w:pPr>
    </w:p>
    <w:p w14:paraId="1DA62537" w14:textId="77777777" w:rsidR="00607C7F" w:rsidRPr="00C20888" w:rsidRDefault="00607C7F" w:rsidP="00C20888"/>
    <w:sectPr w:rsidR="00607C7F" w:rsidRPr="00C20888" w:rsidSect="003A24E6">
      <w:headerReference w:type="default" r:id="rId39"/>
      <w:footerReference w:type="even" r:id="rId40"/>
      <w:footerReference w:type="default" r:id="rId41"/>
      <w:pgSz w:w="15840" w:h="12240" w:orient="landscape"/>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F04A" w14:textId="77777777" w:rsidR="00080625" w:rsidRDefault="00080625" w:rsidP="00C20888">
      <w:pPr>
        <w:spacing w:after="0" w:line="240" w:lineRule="auto"/>
      </w:pPr>
      <w:r>
        <w:separator/>
      </w:r>
    </w:p>
  </w:endnote>
  <w:endnote w:type="continuationSeparator" w:id="0">
    <w:p w14:paraId="7D97F1EA" w14:textId="77777777" w:rsidR="00080625" w:rsidRDefault="00080625" w:rsidP="00C2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559535"/>
      <w:docPartObj>
        <w:docPartGallery w:val="Page Numbers (Bottom of Page)"/>
        <w:docPartUnique/>
      </w:docPartObj>
    </w:sdtPr>
    <w:sdtEndPr>
      <w:rPr>
        <w:rStyle w:val="PageNumber"/>
      </w:rPr>
    </w:sdtEndPr>
    <w:sdtContent>
      <w:p w14:paraId="32F7437B" w14:textId="24A98D4E" w:rsidR="000F1B46" w:rsidRDefault="000F1B46" w:rsidP="00E7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2E651" w14:textId="77777777" w:rsidR="000F1B46" w:rsidRDefault="000F1B46" w:rsidP="000F1B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622983191"/>
      <w:docPartObj>
        <w:docPartGallery w:val="Page Numbers (Bottom of Page)"/>
        <w:docPartUnique/>
      </w:docPartObj>
    </w:sdtPr>
    <w:sdtEndPr>
      <w:rPr>
        <w:rStyle w:val="PageNumber"/>
      </w:rPr>
    </w:sdtEndPr>
    <w:sdtContent>
      <w:p w14:paraId="69E5D4C6" w14:textId="57396BBE" w:rsidR="000F1B46" w:rsidRPr="000F1B46" w:rsidRDefault="000F1B46" w:rsidP="00E71A5F">
        <w:pPr>
          <w:pStyle w:val="Footer"/>
          <w:framePr w:wrap="none" w:vAnchor="text" w:hAnchor="margin" w:xAlign="right" w:y="1"/>
          <w:rPr>
            <w:rStyle w:val="PageNumber"/>
            <w:rFonts w:ascii="Arial" w:hAnsi="Arial" w:cs="Arial"/>
          </w:rPr>
        </w:pPr>
        <w:r w:rsidRPr="000F1B46">
          <w:rPr>
            <w:rStyle w:val="PageNumber"/>
            <w:rFonts w:ascii="Arial" w:hAnsi="Arial" w:cs="Arial"/>
          </w:rPr>
          <w:fldChar w:fldCharType="begin"/>
        </w:r>
        <w:r w:rsidRPr="000F1B46">
          <w:rPr>
            <w:rStyle w:val="PageNumber"/>
            <w:rFonts w:ascii="Arial" w:hAnsi="Arial" w:cs="Arial"/>
          </w:rPr>
          <w:instrText xml:space="preserve"> PAGE </w:instrText>
        </w:r>
        <w:r w:rsidRPr="000F1B46">
          <w:rPr>
            <w:rStyle w:val="PageNumber"/>
            <w:rFonts w:ascii="Arial" w:hAnsi="Arial" w:cs="Arial"/>
          </w:rPr>
          <w:fldChar w:fldCharType="separate"/>
        </w:r>
        <w:r w:rsidRPr="000F1B46">
          <w:rPr>
            <w:rStyle w:val="PageNumber"/>
            <w:rFonts w:ascii="Arial" w:hAnsi="Arial" w:cs="Arial"/>
            <w:noProof/>
          </w:rPr>
          <w:t>1</w:t>
        </w:r>
        <w:r w:rsidRPr="000F1B46">
          <w:rPr>
            <w:rStyle w:val="PageNumber"/>
            <w:rFonts w:ascii="Arial" w:hAnsi="Arial" w:cs="Arial"/>
          </w:rPr>
          <w:fldChar w:fldCharType="end"/>
        </w:r>
      </w:p>
    </w:sdtContent>
  </w:sdt>
  <w:p w14:paraId="0D794DF9" w14:textId="56AF3A2A" w:rsidR="00C20888" w:rsidRPr="000B7BB6" w:rsidRDefault="00CD1320" w:rsidP="000F1B46">
    <w:pPr>
      <w:pStyle w:val="Footer"/>
      <w:ind w:right="360"/>
      <w:rPr>
        <w:rFonts w:ascii="Aptos" w:hAnsi="Aptos" w:cs="Arial"/>
        <w:color w:val="0F4861" w:themeColor="text2"/>
      </w:rPr>
    </w:pPr>
    <w:r>
      <w:rPr>
        <w:rFonts w:ascii="Aptos" w:hAnsi="Aptos" w:cs="Arial"/>
        <w:color w:val="0F4861" w:themeColor="text2"/>
      </w:rPr>
      <w:t>Data Tools and Visualizations 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0053" w14:textId="77777777" w:rsidR="00080625" w:rsidRDefault="00080625" w:rsidP="00C20888">
      <w:pPr>
        <w:spacing w:after="0" w:line="240" w:lineRule="auto"/>
      </w:pPr>
      <w:r>
        <w:separator/>
      </w:r>
    </w:p>
  </w:footnote>
  <w:footnote w:type="continuationSeparator" w:id="0">
    <w:p w14:paraId="50DF01D4" w14:textId="77777777" w:rsidR="00080625" w:rsidRDefault="00080625" w:rsidP="00C2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96EF" w14:textId="1EBDF8F0" w:rsidR="000F1B46" w:rsidRDefault="000B7BB6">
    <w:pPr>
      <w:pStyle w:val="Header"/>
    </w:pPr>
    <w:r>
      <w:rPr>
        <w:noProof/>
      </w:rPr>
      <w:drawing>
        <wp:anchor distT="0" distB="0" distL="114300" distR="114300" simplePos="0" relativeHeight="251660288" behindDoc="1" locked="0" layoutInCell="1" allowOverlap="1" wp14:anchorId="3B7C33C8" wp14:editId="1F4A52A1">
          <wp:simplePos x="0" y="0"/>
          <wp:positionH relativeFrom="column">
            <wp:posOffset>-668020</wp:posOffset>
          </wp:positionH>
          <wp:positionV relativeFrom="paragraph">
            <wp:posOffset>-267335</wp:posOffset>
          </wp:positionV>
          <wp:extent cx="10058400" cy="546100"/>
          <wp:effectExtent l="0" t="0" r="0" b="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10058400" cy="546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35672E2" wp14:editId="72AF3D68">
              <wp:simplePos x="0" y="0"/>
              <wp:positionH relativeFrom="column">
                <wp:posOffset>5932370</wp:posOffset>
              </wp:positionH>
              <wp:positionV relativeFrom="paragraph">
                <wp:posOffset>-115363</wp:posOffset>
              </wp:positionV>
              <wp:extent cx="2917490" cy="328773"/>
              <wp:effectExtent l="0" t="0" r="0" b="0"/>
              <wp:wrapNone/>
              <wp:docPr id="2139146968" name="Text Box 4"/>
              <wp:cNvGraphicFramePr/>
              <a:graphic xmlns:a="http://schemas.openxmlformats.org/drawingml/2006/main">
                <a:graphicData uri="http://schemas.microsoft.com/office/word/2010/wordprocessingShape">
                  <wps:wsp>
                    <wps:cNvSpPr txBox="1"/>
                    <wps:spPr>
                      <a:xfrm>
                        <a:off x="0" y="0"/>
                        <a:ext cx="2917490" cy="328773"/>
                      </a:xfrm>
                      <a:prstGeom prst="rect">
                        <a:avLst/>
                      </a:prstGeom>
                      <a:noFill/>
                      <a:ln w="6350">
                        <a:noFill/>
                      </a:ln>
                    </wps:spPr>
                    <wps:txbx>
                      <w:txbxContent>
                        <w:p w14:paraId="254AD211" w14:textId="77777777" w:rsidR="000B7BB6" w:rsidRPr="000B7BB6" w:rsidRDefault="000B7BB6" w:rsidP="000B7BB6">
                          <w:pPr>
                            <w:spacing w:after="0"/>
                            <w:ind w:right="19"/>
                            <w:jc w:val="center"/>
                            <w:rPr>
                              <w:rFonts w:ascii="Aptos" w:hAnsi="Aptos"/>
                              <w:color w:val="F9F2D4" w:themeColor="accent2" w:themeTint="33"/>
                            </w:rPr>
                          </w:pPr>
                          <w:r w:rsidRPr="000B7BB6">
                            <w:rPr>
                              <w:rFonts w:ascii="Aptos" w:hAnsi="Aptos"/>
                              <w:b/>
                              <w:bCs/>
                              <w:color w:val="F9F2D4" w:themeColor="accent2" w:themeTint="33"/>
                            </w:rPr>
                            <w:t>Equitable Community Resilience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72E2" id="_x0000_t202" coordsize="21600,21600" o:spt="202" path="m,l,21600r21600,l21600,xe">
              <v:stroke joinstyle="miter"/>
              <v:path gradientshapeok="t" o:connecttype="rect"/>
            </v:shapetype>
            <v:shape id="Text Box 4" o:spid="_x0000_s1026" type="#_x0000_t202" style="position:absolute;margin-left:467.1pt;margin-top:-9.1pt;width:229.7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" filled="f" stroked="f" strokeweight=".5pt">
              <v:textbox>
                <w:txbxContent>
                  <w:p w14:paraId="254AD211" w14:textId="77777777" w:rsidR="000B7BB6" w:rsidRPr="000B7BB6" w:rsidRDefault="000B7BB6" w:rsidP="000B7BB6">
                    <w:pPr>
                      <w:spacing w:after="0"/>
                      <w:ind w:right="19"/>
                      <w:jc w:val="center"/>
                      <w:rPr>
                        <w:rFonts w:ascii="Aptos" w:hAnsi="Aptos"/>
                        <w:color w:val="F9F2D4" w:themeColor="accent2" w:themeTint="33"/>
                      </w:rPr>
                    </w:pPr>
                    <w:r w:rsidRPr="000B7BB6">
                      <w:rPr>
                        <w:rFonts w:ascii="Aptos" w:hAnsi="Aptos"/>
                        <w:b/>
                        <w:bCs/>
                        <w:color w:val="F9F2D4" w:themeColor="accent2" w:themeTint="33"/>
                      </w:rPr>
                      <w:t>Equitable Community Resilience Project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0NTczNrc0NTQ3NDZU0lEKTi0uzszPAykwqgUAjQFv1ywAAAA="/>
  </w:docVars>
  <w:rsids>
    <w:rsidRoot w:val="005F2DEF"/>
    <w:rsid w:val="000264A0"/>
    <w:rsid w:val="00031C22"/>
    <w:rsid w:val="000802D4"/>
    <w:rsid w:val="00080625"/>
    <w:rsid w:val="000B7BB6"/>
    <w:rsid w:val="000F1B46"/>
    <w:rsid w:val="00156D3C"/>
    <w:rsid w:val="00165AA2"/>
    <w:rsid w:val="002466E9"/>
    <w:rsid w:val="00260F34"/>
    <w:rsid w:val="002732CA"/>
    <w:rsid w:val="002A5E9C"/>
    <w:rsid w:val="00317E41"/>
    <w:rsid w:val="003A24E6"/>
    <w:rsid w:val="0042776A"/>
    <w:rsid w:val="00433151"/>
    <w:rsid w:val="00463CB5"/>
    <w:rsid w:val="004A3494"/>
    <w:rsid w:val="00516DF1"/>
    <w:rsid w:val="00560BF3"/>
    <w:rsid w:val="005652FD"/>
    <w:rsid w:val="00581398"/>
    <w:rsid w:val="005B240E"/>
    <w:rsid w:val="005C246D"/>
    <w:rsid w:val="005F2DEF"/>
    <w:rsid w:val="005F3D55"/>
    <w:rsid w:val="005F4282"/>
    <w:rsid w:val="00607C7F"/>
    <w:rsid w:val="006457BC"/>
    <w:rsid w:val="00746007"/>
    <w:rsid w:val="007D2E1F"/>
    <w:rsid w:val="0082250B"/>
    <w:rsid w:val="008C1A51"/>
    <w:rsid w:val="008D3757"/>
    <w:rsid w:val="00921FBE"/>
    <w:rsid w:val="00941012"/>
    <w:rsid w:val="00A07D73"/>
    <w:rsid w:val="00A26478"/>
    <w:rsid w:val="00A77040"/>
    <w:rsid w:val="00A86D11"/>
    <w:rsid w:val="00AA4E05"/>
    <w:rsid w:val="00C20888"/>
    <w:rsid w:val="00C41C24"/>
    <w:rsid w:val="00C43130"/>
    <w:rsid w:val="00C5771A"/>
    <w:rsid w:val="00CB55EB"/>
    <w:rsid w:val="00CD1320"/>
    <w:rsid w:val="00DB5006"/>
    <w:rsid w:val="00DD7A01"/>
    <w:rsid w:val="00F10C67"/>
    <w:rsid w:val="00F66794"/>
    <w:rsid w:val="00F72A9B"/>
    <w:rsid w:val="00FC4CD5"/>
    <w:rsid w:val="00FD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8704"/>
  <w15:chartTrackingRefBased/>
  <w15:docId w15:val="{9626A34E-9370-4536-AFA5-8482B53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888"/>
    <w:pPr>
      <w:keepNext/>
      <w:keepLines/>
      <w:spacing w:before="240" w:after="0"/>
      <w:outlineLvl w:val="0"/>
    </w:pPr>
    <w:rPr>
      <w:rFonts w:asciiTheme="majorHAnsi" w:eastAsiaTheme="majorEastAsia" w:hAnsiTheme="majorHAnsi" w:cstheme="majorBidi"/>
      <w:color w:val="539DB9" w:themeColor="accent1" w:themeShade="BF"/>
      <w:sz w:val="32"/>
      <w:szCs w:val="32"/>
    </w:rPr>
  </w:style>
  <w:style w:type="paragraph" w:styleId="Heading3">
    <w:name w:val="heading 3"/>
    <w:basedOn w:val="Normal"/>
    <w:next w:val="Normal"/>
    <w:link w:val="Heading3Char"/>
    <w:uiPriority w:val="9"/>
    <w:unhideWhenUsed/>
    <w:qFormat/>
    <w:rsid w:val="000B7BB6"/>
    <w:pPr>
      <w:keepNext/>
      <w:keepLines/>
      <w:spacing w:before="160" w:after="80" w:line="278" w:lineRule="auto"/>
      <w:outlineLvl w:val="2"/>
    </w:pPr>
    <w:rPr>
      <w:rFonts w:eastAsiaTheme="majorEastAsia" w:cstheme="majorBidi"/>
      <w:b/>
      <w:bCs/>
      <w:color w:val="096682" w:themeColor="accent4"/>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888"/>
  </w:style>
  <w:style w:type="paragraph" w:styleId="Footer">
    <w:name w:val="footer"/>
    <w:basedOn w:val="Normal"/>
    <w:link w:val="FooterChar"/>
    <w:uiPriority w:val="99"/>
    <w:unhideWhenUsed/>
    <w:rsid w:val="00C2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888"/>
  </w:style>
  <w:style w:type="character" w:customStyle="1" w:styleId="Heading1Char">
    <w:name w:val="Heading 1 Char"/>
    <w:basedOn w:val="DefaultParagraphFont"/>
    <w:link w:val="Heading1"/>
    <w:uiPriority w:val="9"/>
    <w:rsid w:val="00C20888"/>
    <w:rPr>
      <w:rFonts w:asciiTheme="majorHAnsi" w:eastAsiaTheme="majorEastAsia" w:hAnsiTheme="majorHAnsi" w:cstheme="majorBidi"/>
      <w:color w:val="539DB9" w:themeColor="accent1" w:themeShade="BF"/>
      <w:sz w:val="32"/>
      <w:szCs w:val="32"/>
    </w:rPr>
  </w:style>
  <w:style w:type="table" w:styleId="TableGrid">
    <w:name w:val="Table Grid"/>
    <w:basedOn w:val="TableNormal"/>
    <w:uiPriority w:val="39"/>
    <w:rsid w:val="00C2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F1B46"/>
  </w:style>
  <w:style w:type="character" w:customStyle="1" w:styleId="Heading3Char">
    <w:name w:val="Heading 3 Char"/>
    <w:basedOn w:val="DefaultParagraphFont"/>
    <w:link w:val="Heading3"/>
    <w:uiPriority w:val="9"/>
    <w:rsid w:val="000B7BB6"/>
    <w:rPr>
      <w:rFonts w:eastAsiaTheme="majorEastAsia" w:cstheme="majorBidi"/>
      <w:b/>
      <w:bCs/>
      <w:color w:val="096682" w:themeColor="accent4"/>
      <w:kern w:val="2"/>
      <w:sz w:val="28"/>
      <w:szCs w:val="28"/>
      <w14:ligatures w14:val="standardContextual"/>
    </w:rPr>
  </w:style>
  <w:style w:type="character" w:styleId="Hyperlink">
    <w:name w:val="Hyperlink"/>
    <w:basedOn w:val="DefaultParagraphFont"/>
    <w:uiPriority w:val="99"/>
    <w:unhideWhenUsed/>
    <w:rsid w:val="00CD1320"/>
    <w:rPr>
      <w:color w:val="165EDC" w:themeColor="hyperlink"/>
      <w:u w:val="single"/>
    </w:rPr>
  </w:style>
  <w:style w:type="character" w:styleId="FollowedHyperlink">
    <w:name w:val="FollowedHyperlink"/>
    <w:basedOn w:val="DefaultParagraphFont"/>
    <w:uiPriority w:val="99"/>
    <w:semiHidden/>
    <w:unhideWhenUsed/>
    <w:rsid w:val="00CD1320"/>
    <w:rPr>
      <w:color w:val="70AD47" w:themeColor="followedHyperlink"/>
      <w:u w:val="single"/>
    </w:rPr>
  </w:style>
  <w:style w:type="character" w:styleId="UnresolvedMention">
    <w:name w:val="Unresolved Mention"/>
    <w:basedOn w:val="DefaultParagraphFont"/>
    <w:uiPriority w:val="99"/>
    <w:semiHidden/>
    <w:unhideWhenUsed/>
    <w:rsid w:val="00CD1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25629">
      <w:bodyDiv w:val="1"/>
      <w:marLeft w:val="0"/>
      <w:marRight w:val="0"/>
      <w:marTop w:val="0"/>
      <w:marBottom w:val="0"/>
      <w:divBdr>
        <w:top w:val="none" w:sz="0" w:space="0" w:color="auto"/>
        <w:left w:val="none" w:sz="0" w:space="0" w:color="auto"/>
        <w:bottom w:val="none" w:sz="0" w:space="0" w:color="auto"/>
        <w:right w:val="none" w:sz="0" w:space="0" w:color="auto"/>
      </w:divBdr>
    </w:div>
    <w:div w:id="18256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reeningtool.geoplatform.gov/en/methodology" TargetMode="External"/><Relationship Id="rId18" Type="http://schemas.openxmlformats.org/officeDocument/2006/relationships/hyperlink" Target="https://www.fema.gov/flood-maps/products-tools/national-risk-index" TargetMode="External"/><Relationship Id="rId26" Type="http://schemas.openxmlformats.org/officeDocument/2006/relationships/hyperlink" Target="https://disgeoportal.egs.anl.gov/ClimRR/" TargetMode="External"/><Relationship Id="rId39" Type="http://schemas.openxmlformats.org/officeDocument/2006/relationships/header" Target="header1.xml"/><Relationship Id="rId21" Type="http://schemas.openxmlformats.org/officeDocument/2006/relationships/hyperlink" Target="https://www.census.gov/programs-surveys/acs" TargetMode="External"/><Relationship Id="rId34" Type="http://schemas.openxmlformats.org/officeDocument/2006/relationships/hyperlink" Target="https://sfgov1.sharepoint.com/Users/wendysuhr/Desktop/Scenarios%20for%20the%20National%20Climate%20Assessment"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hazards.fema.gov/nri/contributors" TargetMode="External"/><Relationship Id="rId20" Type="http://schemas.openxmlformats.org/officeDocument/2006/relationships/hyperlink" Target="https://www.fema.gov/about/reports-and-data/resilience-analysis-planning-tool" TargetMode="External"/><Relationship Id="rId29" Type="http://schemas.openxmlformats.org/officeDocument/2006/relationships/hyperlink" Target="https://screeningtool.geoplatform.gov/"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zards.fema.gov/nri/" TargetMode="External"/><Relationship Id="rId24" Type="http://schemas.openxmlformats.org/officeDocument/2006/relationships/hyperlink" Target="https://www.atsdr.cdc.gov/placeandhealth/svi/interactive_map.html" TargetMode="External"/><Relationship Id="rId32" Type="http://schemas.openxmlformats.org/officeDocument/2006/relationships/hyperlink" Target="https://livingatlas.arcgis.com/assessment-tool/home/" TargetMode="External"/><Relationship Id="rId37" Type="http://schemas.openxmlformats.org/officeDocument/2006/relationships/hyperlink" Target="https://www.fema.gov/flood-maps/national-flood-hazard-layer"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ema.gov/flood-maps/products-tools/national-risk-index/resources" TargetMode="External"/><Relationship Id="rId23" Type="http://schemas.openxmlformats.org/officeDocument/2006/relationships/hyperlink" Target="https://rapt-fema.hub.arcgis.com/pages/data-sources" TargetMode="External"/><Relationship Id="rId28" Type="http://schemas.openxmlformats.org/officeDocument/2006/relationships/hyperlink" Target="https://disgeoportal.egs.anl.gov/portal/sharing/rest/content/items/c13aaa7b432a468e8ec6603bca7b8127/data" TargetMode="External"/><Relationship Id="rId36" Type="http://schemas.openxmlformats.org/officeDocument/2006/relationships/hyperlink" Target="https://sfgov1.sharepoint.com/Users/wendysuhr/Desktop/National%20Levee%20Database" TargetMode="External"/><Relationship Id="rId10" Type="http://schemas.openxmlformats.org/officeDocument/2006/relationships/hyperlink" Target="https://www.federalregister.gov/documents/2021/02/01/2021-02177/tackling-the-climate-crisis-at-home-and-abroad" TargetMode="External"/><Relationship Id="rId19" Type="http://schemas.openxmlformats.org/officeDocument/2006/relationships/hyperlink" Target="https://screeningtool.geoplatform.gov/" TargetMode="External"/><Relationship Id="rId31" Type="http://schemas.openxmlformats.org/officeDocument/2006/relationships/hyperlink" Target="https://rapt-fema.hub.arcgis.com/pages/indicator-analysis" TargetMode="External"/><Relationship Id="rId4" Type="http://schemas.openxmlformats.org/officeDocument/2006/relationships/styles" Target="styles.xml"/><Relationship Id="rId9" Type="http://schemas.openxmlformats.org/officeDocument/2006/relationships/hyperlink" Target="https://screeningtool.geoplatform.gov/" TargetMode="External"/><Relationship Id="rId14" Type="http://schemas.openxmlformats.org/officeDocument/2006/relationships/hyperlink" Target="https://www.fema.gov/flood-maps/products-tools/national-risk-index" TargetMode="External"/><Relationship Id="rId22" Type="http://schemas.openxmlformats.org/officeDocument/2006/relationships/hyperlink" Target="https://hifld-geoplatform.opendata.arcgis.com/" TargetMode="External"/><Relationship Id="rId27" Type="http://schemas.openxmlformats.org/officeDocument/2006/relationships/hyperlink" Target="https://climrr.anl.gov/" TargetMode="External"/><Relationship Id="rId30" Type="http://schemas.openxmlformats.org/officeDocument/2006/relationships/hyperlink" Target="https://experience.arcgis.com/experience/3fdfd0639ba0403e9414d05654449d32/page/Home/" TargetMode="External"/><Relationship Id="rId35" Type="http://schemas.openxmlformats.org/officeDocument/2006/relationships/hyperlink" Target="https://coast.noaa.gov/slrdata/"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www.census.gov/programs-surveys/acs" TargetMode="External"/><Relationship Id="rId17" Type="http://schemas.openxmlformats.org/officeDocument/2006/relationships/hyperlink" Target="https://experience.arcgis.com/experience/3fdfd0639ba0403e9414d05654449d32/page/Home/" TargetMode="External"/><Relationship Id="rId25" Type="http://schemas.openxmlformats.org/officeDocument/2006/relationships/hyperlink" Target="https://www.census.gov/programs-surveys/acs" TargetMode="External"/><Relationship Id="rId33" Type="http://schemas.openxmlformats.org/officeDocument/2006/relationships/hyperlink" Target="https://www.census.gov/geographies/mapping-files/time-series/geo/tiger-geodatabase-file.2019.html" TargetMode="External"/><Relationship Id="rId38" Type="http://schemas.openxmlformats.org/officeDocument/2006/relationships/hyperlink" Target="https://www.fema.gov/emergency-managers/risk-management/building-science/b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CR">
      <a:dk1>
        <a:srgbClr val="2B2B2B"/>
      </a:dk1>
      <a:lt1>
        <a:srgbClr val="FFFFFF"/>
      </a:lt1>
      <a:dk2>
        <a:srgbClr val="0F4861"/>
      </a:dk2>
      <a:lt2>
        <a:srgbClr val="FFFFFF"/>
      </a:lt2>
      <a:accent1>
        <a:srgbClr val="93C2D3"/>
      </a:accent1>
      <a:accent2>
        <a:srgbClr val="E2BF2B"/>
      </a:accent2>
      <a:accent3>
        <a:srgbClr val="F7E5D1"/>
      </a:accent3>
      <a:accent4>
        <a:srgbClr val="096682"/>
      </a:accent4>
      <a:accent5>
        <a:srgbClr val="45A296"/>
      </a:accent5>
      <a:accent6>
        <a:srgbClr val="DF9500"/>
      </a:accent6>
      <a:hlink>
        <a:srgbClr val="165EDC"/>
      </a:hlink>
      <a:folHlink>
        <a:srgbClr val="70AD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1d01da-045b-48b7-97b2-6b81a2961d55" xsi:nil="true"/>
    <lcf76f155ced4ddcb4097134ff3c332f xmlns="0d366527-6b6e-4a3a-afc5-86825f5f2e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05882781327459A65355F77AD9B33" ma:contentTypeVersion="18" ma:contentTypeDescription="Create a new document." ma:contentTypeScope="" ma:versionID="fc8503cf7c133a0af1cdadf7501f7d82">
  <xsd:schema xmlns:xsd="http://www.w3.org/2001/XMLSchema" xmlns:xs="http://www.w3.org/2001/XMLSchema" xmlns:p="http://schemas.microsoft.com/office/2006/metadata/properties" xmlns:ns2="0d366527-6b6e-4a3a-afc5-86825f5f2e9f" xmlns:ns3="e41d01da-045b-48b7-97b2-6b81a2961d55" targetNamespace="http://schemas.microsoft.com/office/2006/metadata/properties" ma:root="true" ma:fieldsID="01823f73ef99c79d9c13b00fd8322847" ns2:_="" ns3:_="">
    <xsd:import namespace="0d366527-6b6e-4a3a-afc5-86825f5f2e9f"/>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6527-6b6e-4a3a-afc5-86825f5f2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1E0F5-9680-4FB8-B87C-06240C2940F5}">
  <ds:schemaRefs>
    <ds:schemaRef ds:uri="http://schemas.microsoft.com/office/2006/metadata/properties"/>
    <ds:schemaRef ds:uri="http://schemas.microsoft.com/office/infopath/2007/PartnerControls"/>
    <ds:schemaRef ds:uri="e41d01da-045b-48b7-97b2-6b81a2961d55"/>
    <ds:schemaRef ds:uri="0d366527-6b6e-4a3a-afc5-86825f5f2e9f"/>
  </ds:schemaRefs>
</ds:datastoreItem>
</file>

<file path=customXml/itemProps2.xml><?xml version="1.0" encoding="utf-8"?>
<ds:datastoreItem xmlns:ds="http://schemas.openxmlformats.org/officeDocument/2006/customXml" ds:itemID="{AE8AA8F9-E660-4EA6-9E38-5771D693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6527-6b6e-4a3a-afc5-86825f5f2e9f"/>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8281D-0CC7-4F89-8FCE-634E64D41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2568</Words>
  <Characters>8015</Characters>
  <Application>Microsoft Office Word</Application>
  <DocSecurity>0</DocSecurity>
  <Lines>8015</Lines>
  <Paragraphs>2645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Cohn</dc:creator>
  <cp:keywords/>
  <dc:description/>
  <cp:lastModifiedBy>Riley, Charlene (DEM)</cp:lastModifiedBy>
  <cp:revision>2</cp:revision>
  <cp:lastPrinted>2024-02-16T19:28:00Z</cp:lastPrinted>
  <dcterms:created xsi:type="dcterms:W3CDTF">2026-03-23T15:29:00Z</dcterms:created>
  <dcterms:modified xsi:type="dcterms:W3CDTF">2026-03-23T15:29:00Z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bf8acac735cb2e3b7ebc3000828e7129057830b38e7e77c722b22c7866f8b202</vt:lpwstr>
  </property>
  <property fmtid="{D5CDD505-2E9C-101B-9397-08002B2CF9AE}" pid="3" name="ContentTypeId">
    <vt:lpwstr>0x01010001505882781327459A65355F77AD9B33</vt:lpwstr>
  </property>
  <property fmtid="{D5CDD505-2E9C-101B-9397-08002B2CF9AE}" pid="4" name="MediaServiceImageTags">
    <vt:lpwstr/>
  </property>
</Properties>
</file>